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jc w:val="center"/>
        <w:textAlignment w:val="auto"/>
        <w:rPr>
          <w:rFonts w:hint="eastAsia" w:ascii="黑体" w:hAnsi="黑体" w:eastAsia="黑体" w:cs="黑体"/>
          <w:b w:val="0"/>
          <w:bCs/>
          <w:spacing w:val="-16"/>
          <w:sz w:val="44"/>
        </w:rPr>
      </w:pPr>
      <w:r>
        <w:rPr>
          <w:rFonts w:hint="eastAsia" w:ascii="黑体" w:hAnsi="黑体" w:eastAsia="黑体" w:cs="黑体"/>
          <w:b w:val="0"/>
          <w:bCs/>
          <w:spacing w:val="-16"/>
          <w:sz w:val="44"/>
          <w:lang w:eastAsia="zh-CN"/>
        </w:rPr>
        <w:t>化肥</w:t>
      </w:r>
      <w:r>
        <w:rPr>
          <w:rFonts w:hint="eastAsia" w:ascii="黑体" w:hAnsi="黑体" w:eastAsia="黑体" w:cs="黑体"/>
          <w:b w:val="0"/>
          <w:bCs/>
          <w:spacing w:val="-16"/>
          <w:sz w:val="44"/>
        </w:rPr>
        <w:t>产品质量监督</w:t>
      </w:r>
      <w:r>
        <w:rPr>
          <w:rFonts w:hint="eastAsia" w:ascii="黑体" w:hAnsi="黑体" w:eastAsia="黑体" w:cs="黑体"/>
          <w:b w:val="0"/>
          <w:bCs/>
          <w:spacing w:val="-16"/>
          <w:sz w:val="44"/>
          <w:lang w:eastAsia="zh-CN"/>
        </w:rPr>
        <w:t>抽查实施</w:t>
      </w:r>
      <w:r>
        <w:rPr>
          <w:rFonts w:hint="eastAsia" w:ascii="黑体" w:hAnsi="黑体" w:eastAsia="黑体" w:cs="黑体"/>
          <w:b w:val="0"/>
          <w:bCs/>
          <w:spacing w:val="-16"/>
          <w:sz w:val="44"/>
        </w:rPr>
        <w:t>细则</w:t>
      </w:r>
    </w:p>
    <w:p>
      <w:pPr>
        <w:keepNext w:val="0"/>
        <w:keepLines w:val="0"/>
        <w:pageBreakBefore w:val="0"/>
        <w:kinsoku/>
        <w:wordWrap/>
        <w:overflowPunct/>
        <w:topLinePunct w:val="0"/>
        <w:autoSpaceDE/>
        <w:bidi w:val="0"/>
        <w:adjustRightInd/>
        <w:snapToGrid/>
        <w:spacing w:line="240" w:lineRule="auto"/>
        <w:textAlignment w:val="auto"/>
        <w:rPr>
          <w:rFonts w:eastAsia="方正小标宋简体" w:cs="方正小标宋简体"/>
          <w:sz w:val="44"/>
          <w:szCs w:val="44"/>
        </w:rPr>
      </w:pP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一、抽样方法</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以随机抽样的方式在被</w:t>
      </w:r>
      <w:r>
        <w:rPr>
          <w:rFonts w:hint="eastAsia" w:ascii="仿宋_GB2312" w:hAnsi="仿宋_GB2312" w:eastAsia="仿宋_GB2312" w:cs="仿宋_GB2312"/>
          <w:sz w:val="32"/>
          <w:szCs w:val="32"/>
          <w:lang w:eastAsia="zh-CN"/>
        </w:rPr>
        <w:t>抽查市场主体</w:t>
      </w:r>
      <w:r>
        <w:rPr>
          <w:rFonts w:hint="eastAsia" w:ascii="仿宋_GB2312" w:hAnsi="仿宋_GB2312" w:eastAsia="仿宋_GB2312" w:cs="仿宋_GB2312"/>
          <w:sz w:val="32"/>
          <w:szCs w:val="32"/>
        </w:rPr>
        <w:t>的待销产品中抽取。</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随机数一般可使用随机数表等方法产生。</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抽查数量：每款产品抽取2组样本，第1组用于检验，第2组用于备样。具体抽样数量和方法如下：</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1.固态</w:t>
      </w:r>
      <w:r>
        <w:rPr>
          <w:rFonts w:hint="eastAsia" w:ascii="仿宋_GB2312" w:hAnsi="仿宋_GB2312" w:eastAsia="仿宋_GB2312" w:cs="仿宋_GB2312"/>
          <w:sz w:val="32"/>
          <w:szCs w:val="32"/>
          <w:lang w:eastAsia="zh-CN"/>
        </w:rPr>
        <w:t>化肥</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a.每次抽查确定3个独立包装的肥料作为一个抽样单元，从单个包装抽取样本时应按相关产品标准中规定的抽样方法进行抽样。</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b.掺混肥料抽取的总样本量不得少于4kg，其余商品抽取的总样本量不得少于3kg。</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样本的缩分：将份样混合在一起构成集样，将集样迅速混合均匀，用缩分器或四分法缩分至约1000g，平均分为2份，装于洁净、干燥的具有磨口塞的广口瓶或带内盖的塑料瓶中。</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2.液态</w:t>
      </w:r>
      <w:r>
        <w:rPr>
          <w:rFonts w:hint="eastAsia" w:ascii="仿宋_GB2312" w:hAnsi="仿宋_GB2312" w:eastAsia="仿宋_GB2312" w:cs="仿宋_GB2312"/>
          <w:sz w:val="32"/>
          <w:szCs w:val="32"/>
          <w:lang w:eastAsia="zh-CN"/>
        </w:rPr>
        <w:t>化</w:t>
      </w:r>
      <w:r>
        <w:rPr>
          <w:rFonts w:hint="eastAsia" w:ascii="仿宋_GB2312" w:hAnsi="仿宋_GB2312" w:eastAsia="仿宋_GB2312" w:cs="仿宋_GB2312"/>
          <w:sz w:val="32"/>
          <w:szCs w:val="32"/>
        </w:rPr>
        <w:t>肥：</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液态</w:t>
      </w:r>
      <w:r>
        <w:rPr>
          <w:rFonts w:hint="eastAsia" w:ascii="仿宋_GB2312" w:hAnsi="仿宋_GB2312" w:eastAsia="仿宋_GB2312" w:cs="仿宋_GB2312"/>
          <w:sz w:val="32"/>
          <w:szCs w:val="32"/>
          <w:lang w:eastAsia="zh-CN"/>
        </w:rPr>
        <w:t>化</w:t>
      </w:r>
      <w:r>
        <w:rPr>
          <w:rFonts w:hint="eastAsia" w:ascii="仿宋_GB2312" w:hAnsi="仿宋_GB2312" w:eastAsia="仿宋_GB2312" w:cs="仿宋_GB2312"/>
          <w:sz w:val="32"/>
          <w:szCs w:val="32"/>
        </w:rPr>
        <w:t>肥商品应尽量整包装抽取，避免分装。随机抽取2个独立包装，单个包装体积不少于500ml；若单个包装体积低于500ml时，则抽取多个独立包装，分成2份，且每份不少于500ml。</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封样要求：抽取的样品应当场封样，由抽样单位抽样人员、被抽样市场主体签字确认，每款产品的2组样品分别封样，抽样机构应采取防拆封措施。样品全部带回</w:t>
      </w:r>
      <w:r>
        <w:rPr>
          <w:rFonts w:hint="eastAsia" w:ascii="仿宋_GB2312" w:hAnsi="仿宋_GB2312" w:eastAsia="仿宋_GB2312" w:cs="仿宋_GB2312"/>
          <w:sz w:val="32"/>
          <w:szCs w:val="32"/>
          <w:lang w:eastAsia="zh-CN"/>
        </w:rPr>
        <w:t>承检机构</w:t>
      </w:r>
      <w:r>
        <w:rPr>
          <w:rFonts w:hint="eastAsia" w:ascii="仿宋_GB2312" w:hAnsi="仿宋_GB2312" w:eastAsia="仿宋_GB2312" w:cs="仿宋_GB2312"/>
          <w:sz w:val="32"/>
          <w:szCs w:val="32"/>
        </w:rPr>
        <w:t>。</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sz w:val="32"/>
          <w:szCs w:val="32"/>
          <w:lang w:val="en-US" w:eastAsia="zh-CN"/>
        </w:rPr>
        <w:t>二、主要检验项目及检验项</w:t>
      </w:r>
      <w:r>
        <w:rPr>
          <w:rFonts w:hint="eastAsia" w:ascii="黑体" w:hAnsi="黑体" w:eastAsia="黑体" w:cs="黑体"/>
          <w:b w:val="0"/>
          <w:bCs w:val="0"/>
          <w:sz w:val="32"/>
          <w:szCs w:val="32"/>
          <w:lang w:val="en-US" w:eastAsia="zh-CN"/>
        </w:rPr>
        <w:t>目属性划分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复混肥料(复合肥料)内在质量检验项目及其重要性划分表。</w:t>
      </w:r>
    </w:p>
    <w:tbl>
      <w:tblPr>
        <w:tblStyle w:val="5"/>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1"/>
        <w:gridCol w:w="2410"/>
        <w:gridCol w:w="612"/>
        <w:gridCol w:w="61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55"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55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41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依据法律法规或标准</w:t>
            </w:r>
          </w:p>
        </w:tc>
        <w:tc>
          <w:tcPr>
            <w:tcW w:w="61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1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1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1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12" w:type="dxa"/>
            <w:tcBorders>
              <w:top w:val="single" w:color="auto" w:sz="4" w:space="0"/>
              <w:left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总养分</w:t>
            </w:r>
            <w:r>
              <w:rPr>
                <w:rFonts w:hint="eastAsia" w:eastAsia="仿宋"/>
                <w:spacing w:val="-6"/>
                <w:sz w:val="24"/>
                <w:szCs w:val="24"/>
                <w:lang w:eastAsia="zh-CN"/>
              </w:rPr>
              <w:t>（</w:t>
            </w:r>
            <w:r>
              <w:rPr>
                <w:rFonts w:hint="eastAsia" w:eastAsia="仿宋"/>
                <w:spacing w:val="-6"/>
                <w:sz w:val="24"/>
                <w:szCs w:val="24"/>
              </w:rPr>
              <w:t>N+P</w:t>
            </w:r>
            <w:r>
              <w:rPr>
                <w:rFonts w:hint="eastAsia" w:eastAsia="仿宋"/>
                <w:spacing w:val="-6"/>
                <w:sz w:val="24"/>
                <w:szCs w:val="24"/>
                <w:vertAlign w:val="subscript"/>
              </w:rPr>
              <w:t>2</w:t>
            </w:r>
            <w:r>
              <w:rPr>
                <w:rFonts w:hint="eastAsia" w:eastAsia="仿宋"/>
                <w:spacing w:val="-6"/>
                <w:sz w:val="24"/>
                <w:szCs w:val="24"/>
              </w:rPr>
              <w:t>O</w:t>
            </w:r>
            <w:r>
              <w:rPr>
                <w:rFonts w:hint="eastAsia" w:eastAsia="仿宋"/>
                <w:spacing w:val="-6"/>
                <w:sz w:val="24"/>
                <w:szCs w:val="24"/>
                <w:vertAlign w:val="subscript"/>
              </w:rPr>
              <w:t>5</w:t>
            </w:r>
            <w:r>
              <w:rPr>
                <w:rFonts w:hint="eastAsia" w:eastAsia="仿宋"/>
                <w:spacing w:val="-6"/>
                <w:sz w:val="24"/>
                <w:szCs w:val="24"/>
              </w:rPr>
              <w:t>+</w:t>
            </w:r>
            <w:r>
              <w:rPr>
                <w:rFonts w:hint="eastAsia" w:eastAsia="仿宋"/>
                <w:spacing w:val="-6"/>
                <w:sz w:val="24"/>
                <w:szCs w:val="24"/>
                <w:lang w:val="en-US" w:eastAsia="zh-CN"/>
              </w:rPr>
              <w:t>k</w:t>
            </w:r>
            <w:r>
              <w:rPr>
                <w:rFonts w:hint="eastAsia" w:eastAsia="仿宋"/>
                <w:spacing w:val="-6"/>
                <w:sz w:val="24"/>
                <w:szCs w:val="24"/>
                <w:vertAlign w:val="subscript"/>
              </w:rPr>
              <w:t>2</w:t>
            </w:r>
            <w:r>
              <w:rPr>
                <w:rFonts w:hint="eastAsia" w:eastAsia="仿宋"/>
                <w:spacing w:val="-6"/>
                <w:sz w:val="24"/>
                <w:szCs w:val="24"/>
              </w:rPr>
              <w:t>O</w:t>
            </w:r>
            <w:r>
              <w:rPr>
                <w:rFonts w:hint="eastAsia" w:eastAsia="仿宋"/>
                <w:spacing w:val="-6"/>
                <w:sz w:val="24"/>
                <w:szCs w:val="24"/>
                <w:lang w:eastAsia="zh-CN"/>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GB/T 15063</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N</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rPr>
              <w:t>GB</w:t>
            </w:r>
            <w:r>
              <w:rPr>
                <w:rFonts w:hint="eastAsia" w:eastAsia="仿宋"/>
                <w:spacing w:val="-6"/>
                <w:sz w:val="24"/>
                <w:szCs w:val="24"/>
                <w:lang w:val="en-US" w:eastAsia="zh-CN"/>
              </w:rPr>
              <w:t>/T 8572</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 xml:space="preserve"> P</w:t>
            </w:r>
            <w:r>
              <w:rPr>
                <w:rFonts w:hint="eastAsia" w:eastAsia="仿宋"/>
                <w:spacing w:val="-6"/>
                <w:sz w:val="24"/>
                <w:szCs w:val="24"/>
                <w:vertAlign w:val="subscript"/>
              </w:rPr>
              <w:t>2</w:t>
            </w:r>
            <w:r>
              <w:rPr>
                <w:rFonts w:hint="eastAsia" w:eastAsia="仿宋"/>
                <w:spacing w:val="-6"/>
                <w:sz w:val="24"/>
                <w:szCs w:val="24"/>
              </w:rPr>
              <w:t>O</w:t>
            </w:r>
            <w:r>
              <w:rPr>
                <w:rFonts w:hint="eastAsia" w:eastAsia="仿宋"/>
                <w:spacing w:val="-6"/>
                <w:sz w:val="24"/>
                <w:szCs w:val="24"/>
                <w:vertAlign w:val="subscript"/>
              </w:rPr>
              <w:t>5</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GB/T8573</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lang w:val="en-US" w:eastAsia="zh-CN"/>
              </w:rPr>
              <w:t>k</w:t>
            </w:r>
            <w:r>
              <w:rPr>
                <w:rFonts w:hint="eastAsia" w:eastAsia="仿宋"/>
                <w:spacing w:val="-6"/>
                <w:sz w:val="24"/>
                <w:szCs w:val="24"/>
                <w:vertAlign w:val="subscript"/>
              </w:rPr>
              <w:t>2</w:t>
            </w:r>
            <w:r>
              <w:rPr>
                <w:rFonts w:hint="eastAsia" w:eastAsia="仿宋"/>
                <w:spacing w:val="-6"/>
                <w:sz w:val="24"/>
                <w:szCs w:val="24"/>
              </w:rPr>
              <w:t>O</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GB/T 8574</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水溶性磷占有效磷百分率</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GB/T8573</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氯离子</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GB/T 15063</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bl>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2.有机-无机复混肥料内在质量检验项目及其重要性划分表。</w:t>
      </w:r>
    </w:p>
    <w:tbl>
      <w:tblPr>
        <w:tblStyle w:val="5"/>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1"/>
        <w:gridCol w:w="2410"/>
        <w:gridCol w:w="612"/>
        <w:gridCol w:w="61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55"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55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41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依据法律法规或标准</w:t>
            </w:r>
          </w:p>
        </w:tc>
        <w:tc>
          <w:tcPr>
            <w:tcW w:w="61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1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1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1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12" w:type="dxa"/>
            <w:tcBorders>
              <w:top w:val="single" w:color="auto" w:sz="4" w:space="0"/>
              <w:left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1</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有机质含量</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rPr>
              <w:t xml:space="preserve">GB/T </w:t>
            </w:r>
            <w:r>
              <w:rPr>
                <w:rFonts w:hint="eastAsia" w:eastAsia="仿宋"/>
                <w:spacing w:val="-6"/>
                <w:sz w:val="24"/>
                <w:szCs w:val="24"/>
                <w:lang w:val="en-US" w:eastAsia="zh-CN"/>
              </w:rPr>
              <w:t>18877</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2</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总养分</w:t>
            </w:r>
            <w:r>
              <w:rPr>
                <w:rFonts w:hint="eastAsia" w:eastAsia="仿宋"/>
                <w:spacing w:val="-6"/>
                <w:sz w:val="24"/>
                <w:szCs w:val="24"/>
                <w:lang w:eastAsia="zh-CN"/>
              </w:rPr>
              <w:t>（</w:t>
            </w:r>
            <w:r>
              <w:rPr>
                <w:rFonts w:hint="eastAsia" w:eastAsia="仿宋"/>
                <w:spacing w:val="-6"/>
                <w:sz w:val="24"/>
                <w:szCs w:val="24"/>
              </w:rPr>
              <w:t>N+P</w:t>
            </w:r>
            <w:r>
              <w:rPr>
                <w:rFonts w:hint="eastAsia" w:eastAsia="仿宋"/>
                <w:spacing w:val="-6"/>
                <w:sz w:val="24"/>
                <w:szCs w:val="24"/>
                <w:vertAlign w:val="subscript"/>
              </w:rPr>
              <w:t>2</w:t>
            </w:r>
            <w:r>
              <w:rPr>
                <w:rFonts w:hint="eastAsia" w:eastAsia="仿宋"/>
                <w:spacing w:val="-6"/>
                <w:sz w:val="24"/>
                <w:szCs w:val="24"/>
              </w:rPr>
              <w:t>O</w:t>
            </w:r>
            <w:r>
              <w:rPr>
                <w:rFonts w:hint="eastAsia" w:eastAsia="仿宋"/>
                <w:spacing w:val="-6"/>
                <w:sz w:val="24"/>
                <w:szCs w:val="24"/>
                <w:vertAlign w:val="subscript"/>
              </w:rPr>
              <w:t>5</w:t>
            </w:r>
            <w:r>
              <w:rPr>
                <w:rFonts w:hint="eastAsia" w:eastAsia="仿宋"/>
                <w:spacing w:val="-6"/>
                <w:sz w:val="24"/>
                <w:szCs w:val="24"/>
              </w:rPr>
              <w:t>+</w:t>
            </w:r>
            <w:r>
              <w:rPr>
                <w:rFonts w:hint="eastAsia" w:eastAsia="仿宋"/>
                <w:spacing w:val="-6"/>
                <w:sz w:val="24"/>
                <w:szCs w:val="24"/>
                <w:lang w:val="en-US" w:eastAsia="zh-CN"/>
              </w:rPr>
              <w:t>k</w:t>
            </w:r>
            <w:r>
              <w:rPr>
                <w:rFonts w:hint="eastAsia" w:eastAsia="仿宋"/>
                <w:spacing w:val="-6"/>
                <w:sz w:val="24"/>
                <w:szCs w:val="24"/>
                <w:vertAlign w:val="subscript"/>
              </w:rPr>
              <w:t>2</w:t>
            </w:r>
            <w:r>
              <w:rPr>
                <w:rFonts w:hint="eastAsia" w:eastAsia="仿宋"/>
                <w:spacing w:val="-6"/>
                <w:sz w:val="24"/>
                <w:szCs w:val="24"/>
              </w:rPr>
              <w:t>O</w:t>
            </w:r>
            <w:r>
              <w:rPr>
                <w:rFonts w:hint="eastAsia" w:eastAsia="仿宋"/>
                <w:spacing w:val="-6"/>
                <w:sz w:val="24"/>
                <w:szCs w:val="24"/>
                <w:lang w:eastAsia="zh-CN"/>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rPr>
              <w:t xml:space="preserve">GB/T </w:t>
            </w:r>
            <w:r>
              <w:rPr>
                <w:rFonts w:hint="eastAsia" w:eastAsia="仿宋"/>
                <w:spacing w:val="-6"/>
                <w:sz w:val="24"/>
                <w:szCs w:val="24"/>
                <w:lang w:val="en-US" w:eastAsia="zh-CN"/>
              </w:rPr>
              <w:t>18877</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3</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N</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rPr>
              <w:t>GB/T</w:t>
            </w:r>
            <w:r>
              <w:rPr>
                <w:rFonts w:hint="eastAsia" w:eastAsia="仿宋"/>
                <w:spacing w:val="-6"/>
                <w:sz w:val="24"/>
                <w:szCs w:val="24"/>
                <w:lang w:val="en-US" w:eastAsia="zh-CN"/>
              </w:rPr>
              <w:t>17767.1</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4</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 xml:space="preserve"> P</w:t>
            </w:r>
            <w:r>
              <w:rPr>
                <w:rFonts w:hint="eastAsia" w:eastAsia="仿宋"/>
                <w:spacing w:val="-6"/>
                <w:sz w:val="24"/>
                <w:szCs w:val="24"/>
                <w:vertAlign w:val="subscript"/>
              </w:rPr>
              <w:t>2</w:t>
            </w:r>
            <w:r>
              <w:rPr>
                <w:rFonts w:hint="eastAsia" w:eastAsia="仿宋"/>
                <w:spacing w:val="-6"/>
                <w:sz w:val="24"/>
                <w:szCs w:val="24"/>
              </w:rPr>
              <w:t>O</w:t>
            </w:r>
            <w:r>
              <w:rPr>
                <w:rFonts w:hint="eastAsia" w:eastAsia="仿宋"/>
                <w:spacing w:val="-6"/>
                <w:sz w:val="24"/>
                <w:szCs w:val="24"/>
                <w:vertAlign w:val="subscript"/>
              </w:rPr>
              <w:t>5</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GB/T8573</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5</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lang w:val="en-US" w:eastAsia="zh-CN"/>
              </w:rPr>
              <w:t>k</w:t>
            </w:r>
            <w:r>
              <w:rPr>
                <w:rFonts w:hint="eastAsia" w:eastAsia="仿宋"/>
                <w:spacing w:val="-6"/>
                <w:sz w:val="24"/>
                <w:szCs w:val="24"/>
                <w:vertAlign w:val="subscript"/>
              </w:rPr>
              <w:t>2</w:t>
            </w:r>
            <w:r>
              <w:rPr>
                <w:rFonts w:hint="eastAsia" w:eastAsia="仿宋"/>
                <w:spacing w:val="-6"/>
                <w:sz w:val="24"/>
                <w:szCs w:val="24"/>
              </w:rPr>
              <w:t>O</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rPr>
              <w:t>GB/T</w:t>
            </w:r>
            <w:r>
              <w:rPr>
                <w:rFonts w:hint="eastAsia" w:eastAsia="仿宋"/>
                <w:spacing w:val="-6"/>
                <w:sz w:val="24"/>
                <w:szCs w:val="24"/>
                <w:lang w:val="en-US" w:eastAsia="zh-CN"/>
              </w:rPr>
              <w:t>17767.3</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7</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酸碱度 pH</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rPr>
              <w:t xml:space="preserve">GB/T </w:t>
            </w:r>
            <w:r>
              <w:rPr>
                <w:rFonts w:hint="eastAsia" w:eastAsia="仿宋"/>
                <w:spacing w:val="-6"/>
                <w:sz w:val="24"/>
                <w:szCs w:val="24"/>
                <w:lang w:val="en-US" w:eastAsia="zh-CN"/>
              </w:rPr>
              <w:t>18877</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8</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氯离子</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rPr>
              <w:t xml:space="preserve">GB/T </w:t>
            </w:r>
            <w:r>
              <w:rPr>
                <w:rFonts w:hint="eastAsia" w:eastAsia="仿宋"/>
                <w:spacing w:val="-6"/>
                <w:sz w:val="24"/>
                <w:szCs w:val="24"/>
                <w:lang w:val="en-US" w:eastAsia="zh-CN"/>
              </w:rPr>
              <w:t>18877</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9</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砷及其化合物</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rPr>
              <w:t xml:space="preserve">GB/T </w:t>
            </w:r>
            <w:r>
              <w:rPr>
                <w:rFonts w:hint="eastAsia" w:eastAsia="仿宋"/>
                <w:spacing w:val="-6"/>
                <w:sz w:val="24"/>
                <w:szCs w:val="24"/>
                <w:lang w:val="en-US" w:eastAsia="zh-CN"/>
              </w:rPr>
              <w:t>23349</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10</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镉及其化合物</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rPr>
              <w:t xml:space="preserve">GB/T </w:t>
            </w:r>
            <w:r>
              <w:rPr>
                <w:rFonts w:hint="eastAsia" w:eastAsia="仿宋"/>
                <w:spacing w:val="-6"/>
                <w:sz w:val="24"/>
                <w:szCs w:val="24"/>
                <w:lang w:val="en-US" w:eastAsia="zh-CN"/>
              </w:rPr>
              <w:t>23349</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11</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铅及其化合物</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rPr>
              <w:t xml:space="preserve">GB/T </w:t>
            </w:r>
            <w:r>
              <w:rPr>
                <w:rFonts w:hint="eastAsia" w:eastAsia="仿宋"/>
                <w:spacing w:val="-6"/>
                <w:sz w:val="24"/>
                <w:szCs w:val="24"/>
                <w:lang w:val="en-US" w:eastAsia="zh-CN"/>
              </w:rPr>
              <w:t>23349</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12</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铬及其化合物</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rPr>
              <w:t xml:space="preserve">GB/T </w:t>
            </w:r>
            <w:r>
              <w:rPr>
                <w:rFonts w:hint="eastAsia" w:eastAsia="仿宋"/>
                <w:spacing w:val="-6"/>
                <w:sz w:val="24"/>
                <w:szCs w:val="24"/>
                <w:lang w:val="en-US" w:eastAsia="zh-CN"/>
              </w:rPr>
              <w:t>23349</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13</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汞及其化合物</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rPr>
              <w:t xml:space="preserve">GB/T </w:t>
            </w:r>
            <w:r>
              <w:rPr>
                <w:rFonts w:hint="eastAsia" w:eastAsia="仿宋"/>
                <w:spacing w:val="-6"/>
                <w:sz w:val="24"/>
                <w:szCs w:val="24"/>
                <w:lang w:val="en-US" w:eastAsia="zh-CN"/>
              </w:rPr>
              <w:t>23349</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bl>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eastAsia="楷体_GB2312" w:cs="楷体_GB2312"/>
          <w:lang w:val="en-US" w:eastAsia="zh-CN"/>
        </w:rPr>
        <w:t>3</w:t>
      </w:r>
      <w:r>
        <w:rPr>
          <w:rFonts w:hint="eastAsia" w:ascii="仿宋_GB2312" w:hAnsi="仿宋_GB2312" w:eastAsia="仿宋_GB2312" w:cs="仿宋_GB2312"/>
          <w:sz w:val="32"/>
          <w:szCs w:val="32"/>
          <w:lang w:val="en-US" w:eastAsia="zh-CN"/>
        </w:rPr>
        <w:t>.有机肥料内在质量检验项目及其重要性划分表。</w:t>
      </w:r>
    </w:p>
    <w:tbl>
      <w:tblPr>
        <w:tblStyle w:val="5"/>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1"/>
        <w:gridCol w:w="2410"/>
        <w:gridCol w:w="612"/>
        <w:gridCol w:w="61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55"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55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41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依据法律法规或标准</w:t>
            </w:r>
          </w:p>
        </w:tc>
        <w:tc>
          <w:tcPr>
            <w:tcW w:w="61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1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1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1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12" w:type="dxa"/>
            <w:tcBorders>
              <w:top w:val="single" w:color="auto" w:sz="4" w:space="0"/>
              <w:left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1</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有机质含量</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NY/T 525</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2</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总养分</w:t>
            </w:r>
            <w:r>
              <w:rPr>
                <w:rFonts w:hint="eastAsia" w:eastAsia="仿宋"/>
                <w:spacing w:val="-6"/>
                <w:sz w:val="24"/>
                <w:szCs w:val="24"/>
                <w:lang w:eastAsia="zh-CN"/>
              </w:rPr>
              <w:t>（</w:t>
            </w:r>
            <w:r>
              <w:rPr>
                <w:rFonts w:hint="eastAsia" w:eastAsia="仿宋"/>
                <w:spacing w:val="-6"/>
                <w:sz w:val="24"/>
                <w:szCs w:val="24"/>
              </w:rPr>
              <w:t>N+P</w:t>
            </w:r>
            <w:r>
              <w:rPr>
                <w:rFonts w:hint="eastAsia" w:eastAsia="仿宋"/>
                <w:spacing w:val="-6"/>
                <w:sz w:val="24"/>
                <w:szCs w:val="24"/>
                <w:vertAlign w:val="subscript"/>
              </w:rPr>
              <w:t>2</w:t>
            </w:r>
            <w:r>
              <w:rPr>
                <w:rFonts w:hint="eastAsia" w:eastAsia="仿宋"/>
                <w:spacing w:val="-6"/>
                <w:sz w:val="24"/>
                <w:szCs w:val="24"/>
              </w:rPr>
              <w:t>O</w:t>
            </w:r>
            <w:r>
              <w:rPr>
                <w:rFonts w:hint="eastAsia" w:eastAsia="仿宋"/>
                <w:spacing w:val="-6"/>
                <w:sz w:val="24"/>
                <w:szCs w:val="24"/>
                <w:vertAlign w:val="subscript"/>
              </w:rPr>
              <w:t>5</w:t>
            </w:r>
            <w:r>
              <w:rPr>
                <w:rFonts w:hint="eastAsia" w:eastAsia="仿宋"/>
                <w:spacing w:val="-6"/>
                <w:sz w:val="24"/>
                <w:szCs w:val="24"/>
              </w:rPr>
              <w:t>+</w:t>
            </w:r>
            <w:r>
              <w:rPr>
                <w:rFonts w:hint="eastAsia" w:eastAsia="仿宋"/>
                <w:spacing w:val="-6"/>
                <w:sz w:val="24"/>
                <w:szCs w:val="24"/>
                <w:lang w:val="en-US" w:eastAsia="zh-CN"/>
              </w:rPr>
              <w:t>k</w:t>
            </w:r>
            <w:r>
              <w:rPr>
                <w:rFonts w:hint="eastAsia" w:eastAsia="仿宋"/>
                <w:spacing w:val="-6"/>
                <w:sz w:val="24"/>
                <w:szCs w:val="24"/>
                <w:vertAlign w:val="subscript"/>
              </w:rPr>
              <w:t>2</w:t>
            </w:r>
            <w:r>
              <w:rPr>
                <w:rFonts w:hint="eastAsia" w:eastAsia="仿宋"/>
                <w:spacing w:val="-6"/>
                <w:sz w:val="24"/>
                <w:szCs w:val="24"/>
              </w:rPr>
              <w:t>O</w:t>
            </w:r>
            <w:r>
              <w:rPr>
                <w:rFonts w:hint="eastAsia" w:eastAsia="仿宋"/>
                <w:spacing w:val="-6"/>
                <w:sz w:val="24"/>
                <w:szCs w:val="24"/>
                <w:lang w:eastAsia="zh-CN"/>
              </w:rPr>
              <w:t>）</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NY/T 525</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3</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N</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NY/T 525</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4</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 xml:space="preserve"> P</w:t>
            </w:r>
            <w:r>
              <w:rPr>
                <w:rFonts w:hint="eastAsia" w:eastAsia="仿宋"/>
                <w:spacing w:val="-6"/>
                <w:sz w:val="24"/>
                <w:szCs w:val="24"/>
                <w:vertAlign w:val="subscript"/>
              </w:rPr>
              <w:t>2</w:t>
            </w:r>
            <w:r>
              <w:rPr>
                <w:rFonts w:hint="eastAsia" w:eastAsia="仿宋"/>
                <w:spacing w:val="-6"/>
                <w:sz w:val="24"/>
                <w:szCs w:val="24"/>
              </w:rPr>
              <w:t>O</w:t>
            </w:r>
            <w:r>
              <w:rPr>
                <w:rFonts w:hint="eastAsia" w:eastAsia="仿宋"/>
                <w:spacing w:val="-6"/>
                <w:sz w:val="24"/>
                <w:szCs w:val="24"/>
                <w:vertAlign w:val="subscript"/>
              </w:rPr>
              <w:t>5</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NY/T 525</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5</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lang w:val="en-US" w:eastAsia="zh-CN"/>
              </w:rPr>
              <w:t>k</w:t>
            </w:r>
            <w:r>
              <w:rPr>
                <w:rFonts w:hint="eastAsia" w:eastAsia="仿宋"/>
                <w:spacing w:val="-6"/>
                <w:sz w:val="24"/>
                <w:szCs w:val="24"/>
                <w:vertAlign w:val="subscript"/>
              </w:rPr>
              <w:t>2</w:t>
            </w:r>
            <w:r>
              <w:rPr>
                <w:rFonts w:hint="eastAsia" w:eastAsia="仿宋"/>
                <w:spacing w:val="-6"/>
                <w:sz w:val="24"/>
                <w:szCs w:val="24"/>
              </w:rPr>
              <w:t>O</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NY/T 525</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6</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水分</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eastAsia="仿宋"/>
                <w:spacing w:val="-6"/>
                <w:sz w:val="24"/>
                <w:szCs w:val="24"/>
                <w:lang w:val="en-US"/>
              </w:rPr>
            </w:pPr>
            <w:r>
              <w:rPr>
                <w:rFonts w:hint="eastAsia" w:eastAsia="仿宋"/>
                <w:spacing w:val="-6"/>
                <w:sz w:val="24"/>
                <w:szCs w:val="24"/>
                <w:lang w:val="en-US" w:eastAsia="zh-CN"/>
              </w:rPr>
              <w:t>NY/T 525</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7</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酸碱度 pH</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NY/T 525</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8</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总砷</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eastAsia="仿宋"/>
                <w:spacing w:val="-6"/>
                <w:sz w:val="24"/>
                <w:szCs w:val="24"/>
                <w:lang w:val="en-US"/>
              </w:rPr>
            </w:pPr>
            <w:r>
              <w:rPr>
                <w:rFonts w:hint="eastAsia" w:eastAsia="仿宋"/>
                <w:spacing w:val="-6"/>
                <w:sz w:val="24"/>
                <w:szCs w:val="24"/>
                <w:lang w:val="en-US" w:eastAsia="zh-CN"/>
              </w:rPr>
              <w:t>NY/T 1978</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9</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总汞</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NY/T 1978</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10</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总铅</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NY/T 1978</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11</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总镉</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NY/T 1978</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12</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总铬</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lang w:val="en-US" w:eastAsia="zh-CN"/>
              </w:rPr>
              <w:t>NY/T 1978</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13</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粪大肠菌群数</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eastAsia="仿宋"/>
                <w:spacing w:val="-6"/>
                <w:sz w:val="24"/>
                <w:szCs w:val="24"/>
                <w:lang w:val="en-US"/>
              </w:rPr>
            </w:pPr>
            <w:r>
              <w:rPr>
                <w:rFonts w:hint="eastAsia" w:eastAsia="仿宋"/>
                <w:spacing w:val="-6"/>
                <w:sz w:val="24"/>
                <w:szCs w:val="24"/>
                <w:lang w:val="en-US" w:eastAsia="zh-CN"/>
              </w:rPr>
              <w:t>GB/T 19524.1</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14</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蛔虫卵死亡率</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eastAsia="仿宋"/>
                <w:spacing w:val="-6"/>
                <w:sz w:val="24"/>
                <w:szCs w:val="24"/>
                <w:lang w:val="en-US"/>
              </w:rPr>
            </w:pPr>
            <w:r>
              <w:rPr>
                <w:rFonts w:hint="eastAsia" w:eastAsia="仿宋"/>
                <w:spacing w:val="-6"/>
                <w:sz w:val="24"/>
                <w:szCs w:val="24"/>
                <w:lang w:val="en-US" w:eastAsia="zh-CN"/>
              </w:rPr>
              <w:t>GB/T 19524.2</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bl>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4.过磷酸钙内在质量检验项目及其重要性划分表。</w:t>
      </w:r>
    </w:p>
    <w:tbl>
      <w:tblPr>
        <w:tblStyle w:val="5"/>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1"/>
        <w:gridCol w:w="2410"/>
        <w:gridCol w:w="612"/>
        <w:gridCol w:w="61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55"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55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410"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依据法律法规或标准</w:t>
            </w:r>
          </w:p>
        </w:tc>
        <w:tc>
          <w:tcPr>
            <w:tcW w:w="61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1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1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1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12" w:type="dxa"/>
            <w:tcBorders>
              <w:top w:val="single" w:color="auto" w:sz="4" w:space="0"/>
              <w:left w:val="single" w:color="auto" w:sz="4" w:space="0"/>
              <w:right w:val="single" w:color="auto" w:sz="4" w:space="0"/>
            </w:tcBorders>
            <w:shd w:val="clear" w:color="auto" w:fill="D8D8D8"/>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1</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外观</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GB/T 20413</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2</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有效 P</w:t>
            </w:r>
            <w:r>
              <w:rPr>
                <w:rFonts w:hint="eastAsia" w:eastAsia="仿宋"/>
                <w:spacing w:val="-6"/>
                <w:sz w:val="24"/>
                <w:szCs w:val="24"/>
                <w:vertAlign w:val="subscript"/>
              </w:rPr>
              <w:t>2</w:t>
            </w:r>
            <w:r>
              <w:rPr>
                <w:rFonts w:hint="eastAsia" w:eastAsia="仿宋"/>
                <w:spacing w:val="-6"/>
                <w:sz w:val="24"/>
                <w:szCs w:val="24"/>
              </w:rPr>
              <w:t>O</w:t>
            </w:r>
            <w:r>
              <w:rPr>
                <w:rFonts w:hint="eastAsia" w:eastAsia="仿宋"/>
                <w:spacing w:val="-6"/>
                <w:sz w:val="24"/>
                <w:szCs w:val="24"/>
                <w:vertAlign w:val="subscript"/>
              </w:rPr>
              <w:t>5</w:t>
            </w:r>
            <w:r>
              <w:rPr>
                <w:rFonts w:hint="eastAsia" w:eastAsia="仿宋"/>
                <w:spacing w:val="-6"/>
                <w:sz w:val="24"/>
                <w:szCs w:val="24"/>
              </w:rPr>
              <w:t>含量</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GB/T 20413</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3</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水分</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GB/T 20413</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noWrap w:val="0"/>
            <w:vAlign w:val="center"/>
          </w:tcPr>
          <w:p>
            <w:pPr>
              <w:pStyle w:val="11"/>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4</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游离酸</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GB/T 20413</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sz w:val="24"/>
                <w:szCs w:val="24"/>
              </w:rPr>
            </w:pPr>
          </w:p>
        </w:tc>
      </w:tr>
    </w:tbl>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5.尿素内在质量检验项目及其重要性划分表。</w:t>
      </w:r>
    </w:p>
    <w:tbl>
      <w:tblPr>
        <w:tblStyle w:val="5"/>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2343"/>
        <w:gridCol w:w="2820"/>
        <w:gridCol w:w="601"/>
        <w:gridCol w:w="601"/>
        <w:gridCol w:w="601"/>
        <w:gridCol w:w="601"/>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8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依据法律法规或标准</w:t>
            </w:r>
          </w:p>
        </w:tc>
        <w:tc>
          <w:tcPr>
            <w:tcW w:w="6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01" w:type="dxa"/>
            <w:tcBorders>
              <w:top w:val="single" w:color="auto" w:sz="4" w:space="0"/>
              <w:left w:val="single" w:color="auto" w:sz="4" w:space="0"/>
              <w:right w:val="single" w:color="auto" w:sz="4" w:space="0"/>
            </w:tcBorders>
            <w:noWrap w:val="0"/>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581" w:type="dxa"/>
            <w:noWrap w:val="0"/>
            <w:vAlign w:val="center"/>
          </w:tcPr>
          <w:p>
            <w:pPr>
              <w:widowControl/>
              <w:spacing w:line="240" w:lineRule="exact"/>
              <w:jc w:val="center"/>
              <w:rPr>
                <w:sz w:val="18"/>
              </w:rPr>
            </w:pPr>
            <w:r>
              <w:rPr>
                <w:sz w:val="18"/>
              </w:rPr>
              <w:t>1</w:t>
            </w:r>
          </w:p>
        </w:tc>
        <w:tc>
          <w:tcPr>
            <w:tcW w:w="2343" w:type="dxa"/>
            <w:noWrap w:val="0"/>
            <w:vAlign w:val="center"/>
          </w:tcPr>
          <w:p>
            <w:pPr>
              <w:spacing w:line="320" w:lineRule="exact"/>
              <w:jc w:val="center"/>
              <w:rPr>
                <w:rFonts w:hint="eastAsia" w:eastAsia="仿宋"/>
                <w:spacing w:val="-6"/>
                <w:sz w:val="24"/>
                <w:szCs w:val="24"/>
              </w:rPr>
            </w:pPr>
            <w:r>
              <w:rPr>
                <w:rFonts w:hint="eastAsia" w:eastAsia="仿宋"/>
                <w:spacing w:val="-6"/>
                <w:sz w:val="24"/>
                <w:szCs w:val="24"/>
              </w:rPr>
              <w:t>总氮</w:t>
            </w:r>
          </w:p>
        </w:tc>
        <w:tc>
          <w:tcPr>
            <w:tcW w:w="2820" w:type="dxa"/>
            <w:noWrap w:val="0"/>
            <w:vAlign w:val="center"/>
          </w:tcPr>
          <w:p>
            <w:pPr>
              <w:spacing w:line="320" w:lineRule="exact"/>
              <w:jc w:val="center"/>
              <w:rPr>
                <w:rFonts w:hint="eastAsia" w:eastAsia="仿宋"/>
                <w:spacing w:val="-6"/>
                <w:sz w:val="24"/>
                <w:szCs w:val="24"/>
              </w:rPr>
            </w:pPr>
            <w:r>
              <w:rPr>
                <w:rFonts w:hint="eastAsia" w:eastAsia="仿宋"/>
                <w:spacing w:val="-6"/>
                <w:sz w:val="24"/>
                <w:szCs w:val="24"/>
              </w:rPr>
              <w:t>GB/T 2440－2001</w:t>
            </w:r>
          </w:p>
          <w:p>
            <w:pPr>
              <w:spacing w:line="320" w:lineRule="exact"/>
              <w:jc w:val="center"/>
              <w:rPr>
                <w:rFonts w:hint="eastAsia" w:eastAsia="仿宋"/>
                <w:spacing w:val="-6"/>
                <w:sz w:val="24"/>
                <w:szCs w:val="24"/>
              </w:rPr>
            </w:pPr>
            <w:r>
              <w:rPr>
                <w:rFonts w:hint="eastAsia" w:eastAsia="仿宋"/>
                <w:spacing w:val="-6"/>
                <w:sz w:val="24"/>
                <w:szCs w:val="24"/>
              </w:rPr>
              <w:t>GB/T 2440－2017</w:t>
            </w:r>
          </w:p>
        </w:tc>
        <w:tc>
          <w:tcPr>
            <w:tcW w:w="601" w:type="dxa"/>
            <w:noWrap w:val="0"/>
            <w:vAlign w:val="center"/>
          </w:tcPr>
          <w:p>
            <w:pPr>
              <w:snapToGrid w:val="0"/>
              <w:spacing w:line="320" w:lineRule="exact"/>
              <w:jc w:val="center"/>
              <w:rPr>
                <w:sz w:val="20"/>
              </w:rPr>
            </w:pPr>
          </w:p>
        </w:tc>
        <w:tc>
          <w:tcPr>
            <w:tcW w:w="601" w:type="dxa"/>
            <w:noWrap w:val="0"/>
            <w:vAlign w:val="center"/>
          </w:tcPr>
          <w:p>
            <w:pPr>
              <w:snapToGrid w:val="0"/>
              <w:spacing w:line="320" w:lineRule="exact"/>
              <w:jc w:val="center"/>
              <w:rPr>
                <w:sz w:val="20"/>
              </w:rPr>
            </w:pPr>
            <w:r>
              <w:rPr>
                <w:rFonts w:hint="eastAsia" w:eastAsia="仿宋"/>
                <w:spacing w:val="-6"/>
                <w:sz w:val="24"/>
                <w:szCs w:val="24"/>
              </w:rPr>
              <w:t>●</w:t>
            </w:r>
          </w:p>
        </w:tc>
        <w:tc>
          <w:tcPr>
            <w:tcW w:w="601" w:type="dxa"/>
            <w:noWrap w:val="0"/>
            <w:vAlign w:val="center"/>
          </w:tcPr>
          <w:p>
            <w:pPr>
              <w:snapToGrid w:val="0"/>
              <w:spacing w:line="320" w:lineRule="exact"/>
              <w:jc w:val="center"/>
              <w:rPr>
                <w:sz w:val="20"/>
              </w:rPr>
            </w:pPr>
            <w:r>
              <w:rPr>
                <w:rFonts w:hint="eastAsia" w:eastAsia="仿宋"/>
                <w:spacing w:val="-6"/>
                <w:sz w:val="24"/>
                <w:szCs w:val="24"/>
              </w:rPr>
              <w:t>●</w:t>
            </w:r>
          </w:p>
        </w:tc>
        <w:tc>
          <w:tcPr>
            <w:tcW w:w="601" w:type="dxa"/>
            <w:noWrap w:val="0"/>
            <w:vAlign w:val="center"/>
          </w:tcPr>
          <w:p>
            <w:pPr>
              <w:adjustRightInd w:val="0"/>
              <w:jc w:val="center"/>
              <w:rPr>
                <w:sz w:val="20"/>
              </w:rPr>
            </w:pPr>
          </w:p>
        </w:tc>
        <w:tc>
          <w:tcPr>
            <w:tcW w:w="601" w:type="dxa"/>
            <w:noWrap w:val="0"/>
            <w:vAlign w:val="center"/>
          </w:tcPr>
          <w:p>
            <w:pPr>
              <w:spacing w:line="2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581" w:type="dxa"/>
            <w:noWrap w:val="0"/>
            <w:vAlign w:val="center"/>
          </w:tcPr>
          <w:p>
            <w:pPr>
              <w:widowControl/>
              <w:spacing w:line="240" w:lineRule="exact"/>
              <w:jc w:val="center"/>
              <w:rPr>
                <w:rFonts w:hint="eastAsia" w:eastAsia="仿宋_GB2312"/>
                <w:sz w:val="18"/>
                <w:lang w:val="en-US" w:eastAsia="zh-CN"/>
              </w:rPr>
            </w:pPr>
            <w:r>
              <w:rPr>
                <w:rFonts w:hint="eastAsia"/>
                <w:sz w:val="18"/>
                <w:lang w:val="en-US" w:eastAsia="zh-CN"/>
              </w:rPr>
              <w:t>2</w:t>
            </w:r>
          </w:p>
        </w:tc>
        <w:tc>
          <w:tcPr>
            <w:tcW w:w="2343" w:type="dxa"/>
            <w:noWrap w:val="0"/>
            <w:vAlign w:val="center"/>
          </w:tcPr>
          <w:p>
            <w:pPr>
              <w:jc w:val="center"/>
              <w:rPr>
                <w:rFonts w:hint="eastAsia" w:eastAsia="仿宋_GB2312"/>
                <w:sz w:val="20"/>
                <w:lang w:eastAsia="zh-CN"/>
              </w:rPr>
            </w:pPr>
            <w:r>
              <w:rPr>
                <w:rFonts w:hint="eastAsia" w:eastAsia="仿宋"/>
                <w:spacing w:val="-6"/>
                <w:sz w:val="24"/>
                <w:szCs w:val="24"/>
                <w:lang w:eastAsia="zh-CN"/>
              </w:rPr>
              <w:t>缩二脲的质量分数</w:t>
            </w:r>
          </w:p>
        </w:tc>
        <w:tc>
          <w:tcPr>
            <w:tcW w:w="2820" w:type="dxa"/>
            <w:noWrap w:val="0"/>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GB/T2441.2</w:t>
            </w:r>
          </w:p>
        </w:tc>
        <w:tc>
          <w:tcPr>
            <w:tcW w:w="601" w:type="dxa"/>
            <w:noWrap w:val="0"/>
            <w:vAlign w:val="center"/>
          </w:tcPr>
          <w:p>
            <w:pPr>
              <w:snapToGrid w:val="0"/>
              <w:spacing w:line="320" w:lineRule="exact"/>
              <w:jc w:val="center"/>
              <w:rPr>
                <w:sz w:val="20"/>
              </w:rPr>
            </w:pPr>
          </w:p>
        </w:tc>
        <w:tc>
          <w:tcPr>
            <w:tcW w:w="601" w:type="dxa"/>
            <w:noWrap w:val="0"/>
            <w:vAlign w:val="center"/>
          </w:tcPr>
          <w:p>
            <w:pPr>
              <w:snapToGrid w:val="0"/>
              <w:spacing w:line="320" w:lineRule="exact"/>
              <w:jc w:val="center"/>
              <w:rPr>
                <w:sz w:val="20"/>
              </w:rPr>
            </w:pPr>
            <w:r>
              <w:rPr>
                <w:rFonts w:hint="eastAsia" w:eastAsia="仿宋"/>
                <w:spacing w:val="-6"/>
                <w:sz w:val="24"/>
                <w:szCs w:val="24"/>
              </w:rPr>
              <w:t>●</w:t>
            </w:r>
          </w:p>
        </w:tc>
        <w:tc>
          <w:tcPr>
            <w:tcW w:w="601" w:type="dxa"/>
            <w:noWrap w:val="0"/>
            <w:vAlign w:val="center"/>
          </w:tcPr>
          <w:p>
            <w:pPr>
              <w:snapToGrid w:val="0"/>
              <w:spacing w:line="320" w:lineRule="exact"/>
              <w:jc w:val="center"/>
              <w:rPr>
                <w:sz w:val="20"/>
              </w:rPr>
            </w:pPr>
            <w:r>
              <w:rPr>
                <w:rFonts w:hint="eastAsia" w:eastAsia="仿宋"/>
                <w:spacing w:val="-6"/>
                <w:sz w:val="24"/>
                <w:szCs w:val="24"/>
              </w:rPr>
              <w:t>●</w:t>
            </w:r>
          </w:p>
        </w:tc>
        <w:tc>
          <w:tcPr>
            <w:tcW w:w="601" w:type="dxa"/>
            <w:noWrap w:val="0"/>
            <w:vAlign w:val="center"/>
          </w:tcPr>
          <w:p>
            <w:pPr>
              <w:adjustRightInd w:val="0"/>
              <w:jc w:val="center"/>
              <w:rPr>
                <w:sz w:val="20"/>
              </w:rPr>
            </w:pPr>
          </w:p>
        </w:tc>
        <w:tc>
          <w:tcPr>
            <w:tcW w:w="601" w:type="dxa"/>
            <w:noWrap w:val="0"/>
            <w:vAlign w:val="center"/>
          </w:tcPr>
          <w:p>
            <w:pPr>
              <w:spacing w:line="240" w:lineRule="exact"/>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581" w:type="dxa"/>
            <w:noWrap w:val="0"/>
            <w:vAlign w:val="center"/>
          </w:tcPr>
          <w:p>
            <w:pPr>
              <w:widowControl/>
              <w:spacing w:line="240" w:lineRule="exact"/>
              <w:jc w:val="center"/>
              <w:rPr>
                <w:rFonts w:hint="eastAsia" w:eastAsia="仿宋_GB2312"/>
                <w:sz w:val="18"/>
                <w:lang w:val="en-US" w:eastAsia="zh-CN"/>
              </w:rPr>
            </w:pPr>
            <w:r>
              <w:rPr>
                <w:rFonts w:hint="eastAsia"/>
                <w:sz w:val="18"/>
                <w:lang w:val="en-US" w:eastAsia="zh-CN"/>
              </w:rPr>
              <w:t>3</w:t>
            </w:r>
          </w:p>
        </w:tc>
        <w:tc>
          <w:tcPr>
            <w:tcW w:w="2343" w:type="dxa"/>
            <w:noWrap w:val="0"/>
            <w:vAlign w:val="center"/>
          </w:tcPr>
          <w:p>
            <w:pPr>
              <w:jc w:val="center"/>
              <w:rPr>
                <w:rFonts w:hint="default" w:eastAsia="仿宋"/>
                <w:spacing w:val="-6"/>
                <w:sz w:val="24"/>
                <w:szCs w:val="24"/>
                <w:lang w:val="en-US" w:eastAsia="zh-CN"/>
              </w:rPr>
            </w:pPr>
            <w:r>
              <w:rPr>
                <w:rFonts w:hint="eastAsia" w:eastAsia="仿宋"/>
                <w:spacing w:val="-6"/>
                <w:sz w:val="24"/>
                <w:szCs w:val="24"/>
                <w:lang w:val="en-US" w:eastAsia="zh-CN"/>
              </w:rPr>
              <w:t>亚甲基二脲的质量分数</w:t>
            </w:r>
          </w:p>
        </w:tc>
        <w:tc>
          <w:tcPr>
            <w:tcW w:w="2820" w:type="dxa"/>
            <w:noWrap w:val="0"/>
            <w:vAlign w:val="center"/>
          </w:tcPr>
          <w:p>
            <w:pPr>
              <w:spacing w:line="320" w:lineRule="exact"/>
              <w:jc w:val="center"/>
              <w:rPr>
                <w:rFonts w:hint="default" w:eastAsia="仿宋"/>
                <w:spacing w:val="-6"/>
                <w:sz w:val="24"/>
                <w:szCs w:val="24"/>
                <w:lang w:val="en-US" w:eastAsia="zh-CN"/>
              </w:rPr>
            </w:pPr>
            <w:r>
              <w:rPr>
                <w:rFonts w:hint="eastAsia" w:eastAsia="仿宋"/>
                <w:spacing w:val="-6"/>
                <w:sz w:val="24"/>
                <w:szCs w:val="24"/>
                <w:lang w:val="en-US" w:eastAsia="zh-CN"/>
              </w:rPr>
              <w:t>GB/T2441.9</w:t>
            </w:r>
          </w:p>
        </w:tc>
        <w:tc>
          <w:tcPr>
            <w:tcW w:w="601" w:type="dxa"/>
            <w:noWrap w:val="0"/>
            <w:vAlign w:val="center"/>
          </w:tcPr>
          <w:p>
            <w:pPr>
              <w:snapToGrid w:val="0"/>
              <w:spacing w:line="320" w:lineRule="exact"/>
              <w:jc w:val="center"/>
              <w:rPr>
                <w:sz w:val="20"/>
              </w:rPr>
            </w:pPr>
          </w:p>
        </w:tc>
        <w:tc>
          <w:tcPr>
            <w:tcW w:w="601" w:type="dxa"/>
            <w:noWrap w:val="0"/>
            <w:vAlign w:val="center"/>
          </w:tcPr>
          <w:p>
            <w:pPr>
              <w:snapToGrid w:val="0"/>
              <w:spacing w:line="320" w:lineRule="exact"/>
              <w:jc w:val="center"/>
              <w:rPr>
                <w:sz w:val="20"/>
              </w:rPr>
            </w:pPr>
            <w:r>
              <w:rPr>
                <w:rFonts w:hint="eastAsia" w:eastAsia="仿宋"/>
                <w:spacing w:val="-6"/>
                <w:sz w:val="24"/>
                <w:szCs w:val="24"/>
              </w:rPr>
              <w:t>●</w:t>
            </w:r>
          </w:p>
        </w:tc>
        <w:tc>
          <w:tcPr>
            <w:tcW w:w="601" w:type="dxa"/>
            <w:noWrap w:val="0"/>
            <w:vAlign w:val="center"/>
          </w:tcPr>
          <w:p>
            <w:pPr>
              <w:snapToGrid w:val="0"/>
              <w:spacing w:line="320" w:lineRule="exact"/>
              <w:jc w:val="center"/>
              <w:rPr>
                <w:sz w:val="20"/>
              </w:rPr>
            </w:pPr>
            <w:r>
              <w:rPr>
                <w:rFonts w:hint="eastAsia" w:eastAsia="仿宋"/>
                <w:spacing w:val="-6"/>
                <w:sz w:val="24"/>
                <w:szCs w:val="24"/>
              </w:rPr>
              <w:t>●</w:t>
            </w:r>
          </w:p>
        </w:tc>
        <w:tc>
          <w:tcPr>
            <w:tcW w:w="601" w:type="dxa"/>
            <w:noWrap w:val="0"/>
            <w:vAlign w:val="center"/>
          </w:tcPr>
          <w:p>
            <w:pPr>
              <w:adjustRightInd w:val="0"/>
              <w:jc w:val="center"/>
              <w:rPr>
                <w:sz w:val="20"/>
              </w:rPr>
            </w:pPr>
          </w:p>
        </w:tc>
        <w:tc>
          <w:tcPr>
            <w:tcW w:w="601" w:type="dxa"/>
            <w:noWrap w:val="0"/>
            <w:vAlign w:val="center"/>
          </w:tcPr>
          <w:p>
            <w:pPr>
              <w:spacing w:line="240" w:lineRule="exact"/>
              <w:jc w:val="center"/>
              <w:rPr>
                <w:sz w:val="18"/>
              </w:rPr>
            </w:pPr>
          </w:p>
        </w:tc>
      </w:tr>
    </w:tbl>
    <w:p>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三、判定规则</w:t>
      </w:r>
    </w:p>
    <w:p>
      <w:pPr>
        <w:spacing w:line="590" w:lineRule="exact"/>
        <w:ind w:firstLine="640" w:firstLineChars="200"/>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（一）依据标准</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15063-2009《复混肥料(复合肥料)》（2020年标准将于2021年6月1日起实施）；</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18877-2009《有机-无机复混肥料》（2020年标准将于2021年6月1日起实施）；</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NY525-2012《有机肥料》；</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20413-2017《过磷酸钙》；（适用于2018年7月1日后生产的产品）</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2440-2001 《尿素》（适用于2018年7月1日前生产的产品）</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2440-2017 《尿素》（适用于2018年7月1日后生产的产品）</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现行有效的企业标准、团体标准、地方标准及产品明示质量要求。</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（二）判定原则</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经检验，检验项目全部合格，判定为抽取的样本所检项目未检出不合格；检验项目中任一项或一项以上不合格，判定为被抽查产品不合格。</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当被检样品明示的质量要求优于监督抽查实施细则中依据的标准要求时，应按被检样品明示的质量要求判定；</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当被检样品明示的质量要求劣于或不包含监督抽查实施细则中依据的强制性标准要求时，应按照强制性标准要求判定；</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当被检样品明示的质量要求劣于或包含监督抽查实施细则中依据的推荐性标准要求时，应以被检样品明示的质量要求判定，如相应检验结果不符合相关推荐性标准要求时，应在检验报告中予以说明；</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当被检样品明示的质量要求不包含监督抽查实施细则中依据的推荐性标准要求时，该指标不参与判定，但应在检验报告中作出说明；</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当被检样品未能提供有效的企业标准时，按相关国家或行业标准进行判定；</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按照产品质量相关法律法规的规定判定。</w:t>
      </w:r>
    </w:p>
    <w:p>
      <w:pPr>
        <w:spacing w:line="590" w:lineRule="exact"/>
        <w:ind w:firstLine="640" w:firstLineChars="200"/>
        <w:rPr>
          <w:rFonts w:hint="eastAsia" w:ascii="仿宋_GB2312" w:hAnsi="仿宋_GB2312" w:eastAsia="仿宋_GB2312" w:cs="仿宋_GB2312"/>
          <w:sz w:val="32"/>
          <w:szCs w:val="32"/>
          <w:lang w:val="en-US" w:eastAsia="zh-CN"/>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宋体"/>
    <w:panose1 w:val="00000000000000000000"/>
    <w:charset w:val="86"/>
    <w:family w:val="modern"/>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F5666"/>
    <w:multiLevelType w:val="multilevel"/>
    <w:tmpl w:val="1DCF56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32A2299"/>
    <w:rsid w:val="08731931"/>
    <w:rsid w:val="134A556B"/>
    <w:rsid w:val="186B2B9A"/>
    <w:rsid w:val="1B3A04CA"/>
    <w:rsid w:val="1EAE5785"/>
    <w:rsid w:val="25302601"/>
    <w:rsid w:val="35DD5628"/>
    <w:rsid w:val="36B93DFC"/>
    <w:rsid w:val="388352AC"/>
    <w:rsid w:val="3C315A4B"/>
    <w:rsid w:val="3C447E39"/>
    <w:rsid w:val="430C1788"/>
    <w:rsid w:val="446B4FA9"/>
    <w:rsid w:val="46B303F3"/>
    <w:rsid w:val="52023D9E"/>
    <w:rsid w:val="562F2BA3"/>
    <w:rsid w:val="590233BD"/>
    <w:rsid w:val="64A6565C"/>
    <w:rsid w:val="6A9C0E67"/>
    <w:rsid w:val="6FBFD4CC"/>
    <w:rsid w:val="734F3C82"/>
    <w:rsid w:val="7906664A"/>
    <w:rsid w:val="795813BD"/>
    <w:rsid w:val="7B6315DB"/>
    <w:rsid w:val="7FE37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Times New Roman" w:hAnsi="Times New Roman" w:eastAsia="仿宋_GB2312" w:cs="Times New Roman"/>
      <w:sz w:val="18"/>
      <w:szCs w:val="24"/>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9">
    <w:name w:val="一级条标题"/>
    <w:next w:val="8"/>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0">
    <w:name w:val="二级条标题"/>
    <w:basedOn w:val="9"/>
    <w:next w:val="8"/>
    <w:qFormat/>
    <w:uiPriority w:val="0"/>
    <w:pPr>
      <w:spacing w:before="50" w:after="50"/>
      <w:outlineLvl w:val="3"/>
    </w:pPr>
  </w:style>
  <w:style w:type="paragraph" w:customStyle="1" w:styleId="11">
    <w:name w:val="列出段落2"/>
    <w:basedOn w:val="1"/>
    <w:unhideWhenUsed/>
    <w:qFormat/>
    <w:uiPriority w:val="99"/>
    <w:pPr>
      <w:ind w:firstLine="420" w:firstLineChars="200"/>
    </w:pPr>
    <w:rPr>
      <w:sz w:val="30"/>
    </w:rPr>
  </w:style>
  <w:style w:type="paragraph" w:customStyle="1" w:styleId="12">
    <w:name w:val="Table Paragraph"/>
    <w:basedOn w:val="1"/>
    <w:qFormat/>
    <w:uiPriority w:val="0"/>
    <w:pPr>
      <w:jc w:val="left"/>
    </w:pPr>
    <w:rPr>
      <w:rFonts w:ascii="Calibri" w:hAnsi="Calibri"/>
      <w:kern w:val="0"/>
      <w:sz w:val="22"/>
      <w:szCs w:val="22"/>
      <w:lang w:eastAsia="en-US"/>
    </w:rPr>
  </w:style>
  <w:style w:type="character" w:customStyle="1" w:styleId="13">
    <w:name w:val="页眉 Char"/>
    <w:basedOn w:val="6"/>
    <w:link w:val="4"/>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1712</Words>
  <Characters>2162</Characters>
  <Lines>23</Lines>
  <Paragraphs>6</Paragraphs>
  <TotalTime>18</TotalTime>
  <ScaleCrop>false</ScaleCrop>
  <LinksUpToDate>false</LinksUpToDate>
  <CharactersWithSpaces>2211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2020-07-22T09:55:00Z</dcterms:created>
  <dc:creator>zyw</dc:creator>
  <cp:lastModifiedBy>dxkj</cp:lastModifiedBy>
  <cp:lastPrinted>2021-04-08T09:18:00Z</cp:lastPrinted>
  <dcterms:modified xsi:type="dcterms:W3CDTF">2023-04-06T15:39:07Z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FB14EA1744184720B23E034089990C09</vt:lpwstr>
  </property>
</Properties>
</file>