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pacing w:val="-16"/>
          <w:sz w:val="44"/>
        </w:rPr>
      </w:pPr>
      <w:r>
        <w:rPr>
          <w:rFonts w:hint="eastAsia" w:ascii="宋体" w:hAnsi="宋体" w:eastAsia="宋体" w:cs="宋体"/>
          <w:b/>
          <w:bCs/>
          <w:spacing w:val="-16"/>
          <w:sz w:val="44"/>
        </w:rPr>
        <w:t>热泵热水机（器）产品</w:t>
      </w:r>
    </w:p>
    <w:p>
      <w:pPr>
        <w:jc w:val="center"/>
        <w:rPr>
          <w:b/>
          <w:bCs/>
          <w:spacing w:val="-16"/>
          <w:sz w:val="44"/>
        </w:rPr>
      </w:pPr>
      <w:r>
        <w:rPr>
          <w:rFonts w:hint="eastAsia" w:ascii="宋体" w:hAnsi="宋体" w:eastAsia="宋体" w:cs="宋体"/>
          <w:b/>
          <w:bCs/>
          <w:spacing w:val="-16"/>
          <w:sz w:val="44"/>
        </w:rPr>
        <w:t>质量监督抽查实施细则</w:t>
      </w:r>
    </w:p>
    <w:p>
      <w:pPr>
        <w:rPr>
          <w:rFonts w:eastAsia="方正小标宋简体" w:cs="方正小标宋简体"/>
          <w:sz w:val="44"/>
          <w:szCs w:val="44"/>
        </w:rPr>
      </w:pPr>
    </w:p>
    <w:p>
      <w:pPr>
        <w:snapToGrid w:val="0"/>
        <w:spacing w:line="360" w:lineRule="auto"/>
        <w:ind w:firstLine="640" w:firstLineChars="200"/>
        <w:rPr>
          <w:rFonts w:ascii="黑体" w:hAnsi="黑体" w:eastAsia="黑体" w:cs="黑体"/>
          <w:color w:val="000000"/>
          <w:szCs w:val="32"/>
        </w:rPr>
      </w:pPr>
      <w:r>
        <w:rPr>
          <w:rFonts w:hint="eastAsia" w:ascii="黑体" w:hAnsi="黑体" w:eastAsia="黑体" w:cs="黑体"/>
          <w:color w:val="000000"/>
          <w:szCs w:val="32"/>
        </w:rPr>
        <w:t>一、抽样方法</w:t>
      </w:r>
    </w:p>
    <w:p>
      <w:pPr>
        <w:widowControl/>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kern w:val="0"/>
          <w:szCs w:val="32"/>
        </w:rPr>
        <w:t>以随机抽样的方式在被抽查市场主体的待销产品中抽取。</w:t>
      </w:r>
    </w:p>
    <w:p>
      <w:pPr>
        <w:widowControl/>
        <w:spacing w:line="360" w:lineRule="auto"/>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随机数一般可使用随机数表等方法产生。</w:t>
      </w:r>
    </w:p>
    <w:p>
      <w:pPr>
        <w:widowControl/>
        <w:spacing w:line="360" w:lineRule="auto"/>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抽查数量：每款产品抽取2组样本，第1组用于检验，第2组用于备样，封存在被抽查单位。具体抽样数量如下：</w:t>
      </w:r>
    </w:p>
    <w:tbl>
      <w:tblPr>
        <w:tblStyle w:val="6"/>
        <w:tblW w:w="8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516"/>
        <w:gridCol w:w="1980"/>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35" w:type="dxa"/>
          </w:tcPr>
          <w:p>
            <w:pPr>
              <w:jc w:val="center"/>
              <w:rPr>
                <w:rFonts w:ascii="仿宋" w:hAnsi="仿宋" w:eastAsia="仿宋" w:cs="仿宋"/>
                <w:b/>
                <w:bCs/>
                <w:sz w:val="24"/>
              </w:rPr>
            </w:pPr>
            <w:r>
              <w:rPr>
                <w:rFonts w:hint="eastAsia" w:ascii="仿宋" w:hAnsi="仿宋" w:eastAsia="仿宋" w:cs="仿宋"/>
                <w:b/>
                <w:bCs/>
                <w:sz w:val="24"/>
              </w:rPr>
              <w:t>序号</w:t>
            </w:r>
          </w:p>
        </w:tc>
        <w:tc>
          <w:tcPr>
            <w:tcW w:w="3516" w:type="dxa"/>
            <w:vAlign w:val="center"/>
          </w:tcPr>
          <w:p>
            <w:pPr>
              <w:jc w:val="center"/>
              <w:rPr>
                <w:rFonts w:ascii="仿宋" w:hAnsi="仿宋" w:eastAsia="仿宋" w:cs="仿宋"/>
                <w:b/>
                <w:bCs/>
                <w:sz w:val="24"/>
              </w:rPr>
            </w:pPr>
            <w:r>
              <w:rPr>
                <w:rFonts w:hint="eastAsia" w:ascii="仿宋" w:hAnsi="仿宋" w:eastAsia="仿宋" w:cs="仿宋"/>
                <w:b/>
                <w:bCs/>
                <w:sz w:val="24"/>
              </w:rPr>
              <w:t>被抽查的产品品种</w:t>
            </w:r>
          </w:p>
        </w:tc>
        <w:tc>
          <w:tcPr>
            <w:tcW w:w="1980" w:type="dxa"/>
            <w:vAlign w:val="center"/>
          </w:tcPr>
          <w:p>
            <w:pPr>
              <w:jc w:val="center"/>
              <w:rPr>
                <w:rFonts w:ascii="仿宋" w:hAnsi="仿宋" w:eastAsia="仿宋" w:cs="仿宋"/>
                <w:b/>
                <w:bCs/>
                <w:sz w:val="24"/>
              </w:rPr>
            </w:pPr>
            <w:r>
              <w:rPr>
                <w:rFonts w:hint="eastAsia" w:ascii="仿宋" w:hAnsi="仿宋" w:eastAsia="仿宋" w:cs="仿宋"/>
                <w:b/>
                <w:bCs/>
                <w:kern w:val="0"/>
                <w:sz w:val="24"/>
              </w:rPr>
              <w:t>第1组数量</w:t>
            </w:r>
            <w:r>
              <w:rPr>
                <w:rFonts w:hint="eastAsia" w:ascii="仿宋" w:hAnsi="仿宋" w:eastAsia="仿宋" w:cs="仿宋"/>
                <w:b/>
                <w:bCs/>
                <w:sz w:val="24"/>
              </w:rPr>
              <w:t>（款）</w:t>
            </w:r>
          </w:p>
        </w:tc>
        <w:tc>
          <w:tcPr>
            <w:tcW w:w="1971" w:type="dxa"/>
            <w:vAlign w:val="center"/>
          </w:tcPr>
          <w:p>
            <w:pPr>
              <w:jc w:val="center"/>
              <w:rPr>
                <w:rFonts w:ascii="仿宋" w:hAnsi="仿宋" w:eastAsia="仿宋" w:cs="仿宋"/>
                <w:b/>
                <w:bCs/>
                <w:sz w:val="24"/>
              </w:rPr>
            </w:pPr>
            <w:r>
              <w:rPr>
                <w:rFonts w:hint="eastAsia" w:ascii="仿宋" w:hAnsi="仿宋" w:eastAsia="仿宋" w:cs="仿宋"/>
                <w:b/>
                <w:bCs/>
                <w:kern w:val="0"/>
                <w:sz w:val="24"/>
              </w:rPr>
              <w:t>第2组数量</w:t>
            </w:r>
            <w:r>
              <w:rPr>
                <w:rFonts w:hint="eastAsia" w:ascii="仿宋" w:hAnsi="仿宋" w:eastAsia="仿宋" w:cs="仿宋"/>
                <w:b/>
                <w:bCs/>
                <w:sz w:val="24"/>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jc w:val="center"/>
        </w:trPr>
        <w:tc>
          <w:tcPr>
            <w:tcW w:w="735" w:type="dxa"/>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1</w:t>
            </w:r>
          </w:p>
        </w:tc>
        <w:tc>
          <w:tcPr>
            <w:tcW w:w="3516" w:type="dxa"/>
            <w:vAlign w:val="center"/>
          </w:tcPr>
          <w:p>
            <w:pPr>
              <w:snapToGrid w:val="0"/>
              <w:jc w:val="center"/>
              <w:rPr>
                <w:rFonts w:ascii="仿宋" w:hAnsi="仿宋" w:eastAsia="仿宋" w:cs="仿宋"/>
                <w:color w:val="000000"/>
                <w:sz w:val="24"/>
              </w:rPr>
            </w:pPr>
            <w:r>
              <w:rPr>
                <w:rFonts w:hint="eastAsia" w:ascii="仿宋" w:hAnsi="仿宋" w:eastAsia="仿宋" w:cs="仿宋"/>
                <w:kern w:val="0"/>
                <w:szCs w:val="32"/>
              </w:rPr>
              <w:t>热泵热水机（器）</w:t>
            </w:r>
          </w:p>
        </w:tc>
        <w:tc>
          <w:tcPr>
            <w:tcW w:w="1980" w:type="dxa"/>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1台</w:t>
            </w:r>
          </w:p>
        </w:tc>
        <w:tc>
          <w:tcPr>
            <w:tcW w:w="1971" w:type="dxa"/>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1台</w:t>
            </w:r>
          </w:p>
        </w:tc>
      </w:tr>
    </w:tbl>
    <w:p>
      <w:pPr>
        <w:snapToGrid w:val="0"/>
        <w:spacing w:line="600" w:lineRule="exact"/>
        <w:ind w:firstLine="640" w:firstLineChars="200"/>
        <w:rPr>
          <w:rFonts w:ascii="黑体" w:hAnsi="宋体" w:eastAsia="黑体"/>
          <w:color w:val="000000"/>
          <w:szCs w:val="32"/>
        </w:rPr>
      </w:pPr>
      <w:r>
        <w:rPr>
          <w:rFonts w:hint="eastAsia" w:ascii="黑体" w:hAnsi="宋体" w:eastAsia="黑体"/>
          <w:color w:val="000000"/>
          <w:szCs w:val="32"/>
        </w:rPr>
        <w:t>二、主要检验项目及检验项目属性划分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955"/>
        <w:gridCol w:w="2129"/>
        <w:gridCol w:w="712"/>
        <w:gridCol w:w="706"/>
        <w:gridCol w:w="708"/>
        <w:gridCol w:w="709"/>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序号</w:t>
            </w:r>
          </w:p>
        </w:tc>
        <w:tc>
          <w:tcPr>
            <w:tcW w:w="19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检验项目</w:t>
            </w:r>
          </w:p>
        </w:tc>
        <w:tc>
          <w:tcPr>
            <w:tcW w:w="21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依据法律</w:t>
            </w:r>
          </w:p>
          <w:p>
            <w:pPr>
              <w:widowControl/>
              <w:jc w:val="center"/>
              <w:rPr>
                <w:rFonts w:ascii="宋体" w:hAnsi="宋体" w:eastAsia="宋体" w:cs="宋体"/>
                <w:sz w:val="24"/>
              </w:rPr>
            </w:pPr>
            <w:r>
              <w:rPr>
                <w:rFonts w:hint="eastAsia" w:ascii="宋体" w:hAnsi="宋体" w:eastAsia="宋体" w:cs="宋体"/>
                <w:sz w:val="24"/>
              </w:rPr>
              <w:t>法规或标准</w:t>
            </w:r>
          </w:p>
        </w:tc>
        <w:tc>
          <w:tcPr>
            <w:tcW w:w="7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强制性</w:t>
            </w:r>
          </w:p>
        </w:tc>
        <w:tc>
          <w:tcPr>
            <w:tcW w:w="7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非强</w:t>
            </w:r>
          </w:p>
          <w:p>
            <w:pPr>
              <w:widowControl/>
              <w:jc w:val="center"/>
              <w:rPr>
                <w:rFonts w:ascii="宋体" w:hAnsi="宋体" w:eastAsia="宋体" w:cs="宋体"/>
                <w:sz w:val="24"/>
              </w:rPr>
            </w:pPr>
            <w:r>
              <w:rPr>
                <w:rFonts w:hint="eastAsia" w:ascii="宋体" w:hAnsi="宋体" w:eastAsia="宋体" w:cs="宋体"/>
                <w:sz w:val="24"/>
              </w:rPr>
              <w:t>制性</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重要项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较重</w:t>
            </w:r>
          </w:p>
          <w:p>
            <w:pPr>
              <w:widowControl/>
              <w:jc w:val="center"/>
              <w:rPr>
                <w:rFonts w:ascii="宋体" w:hAnsi="宋体" w:eastAsia="宋体" w:cs="宋体"/>
                <w:sz w:val="24"/>
              </w:rPr>
            </w:pPr>
            <w:r>
              <w:rPr>
                <w:rFonts w:hint="eastAsia" w:ascii="宋体" w:hAnsi="宋体" w:eastAsia="宋体" w:cs="宋体"/>
                <w:sz w:val="24"/>
              </w:rPr>
              <w:t>要项</w:t>
            </w:r>
          </w:p>
        </w:tc>
        <w:tc>
          <w:tcPr>
            <w:tcW w:w="7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1</w:t>
            </w:r>
          </w:p>
        </w:tc>
        <w:tc>
          <w:tcPr>
            <w:tcW w:w="19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标志和说明</w:t>
            </w:r>
          </w:p>
        </w:tc>
        <w:tc>
          <w:tcPr>
            <w:tcW w:w="2129" w:type="dxa"/>
            <w:vMerge w:val="restart"/>
            <w:tcBorders>
              <w:top w:val="single" w:color="auto" w:sz="4" w:space="0"/>
              <w:left w:val="single" w:color="auto" w:sz="4" w:space="0"/>
              <w:right w:val="single" w:color="auto" w:sz="4" w:space="0"/>
            </w:tcBorders>
            <w:vAlign w:val="center"/>
          </w:tcPr>
          <w:p>
            <w:pPr>
              <w:snapToGrid w:val="0"/>
              <w:jc w:val="center"/>
              <w:rPr>
                <w:sz w:val="24"/>
              </w:rPr>
            </w:pPr>
            <w:r>
              <w:rPr>
                <w:sz w:val="24"/>
              </w:rPr>
              <w:t>GB 4706.1-</w:t>
            </w:r>
            <w:r>
              <w:rPr>
                <w:rFonts w:hint="eastAsia"/>
                <w:sz w:val="24"/>
              </w:rPr>
              <w:t>1998</w:t>
            </w:r>
          </w:p>
          <w:p>
            <w:pPr>
              <w:snapToGrid w:val="0"/>
              <w:jc w:val="center"/>
              <w:rPr>
                <w:sz w:val="24"/>
              </w:rPr>
            </w:pPr>
            <w:r>
              <w:rPr>
                <w:sz w:val="24"/>
              </w:rPr>
              <w:t>GB 4706.1-2005</w:t>
            </w:r>
          </w:p>
          <w:p>
            <w:pPr>
              <w:snapToGrid w:val="0"/>
              <w:jc w:val="center"/>
              <w:rPr>
                <w:sz w:val="24"/>
              </w:rPr>
            </w:pPr>
            <w:r>
              <w:rPr>
                <w:rFonts w:hint="eastAsia"/>
                <w:sz w:val="24"/>
              </w:rPr>
              <w:t>GB 4706.12-2006</w:t>
            </w:r>
          </w:p>
          <w:p>
            <w:pPr>
              <w:jc w:val="center"/>
              <w:rPr>
                <w:rFonts w:ascii="宋体" w:hAnsi="宋体" w:eastAsia="宋体" w:cs="宋体"/>
                <w:sz w:val="24"/>
              </w:rPr>
            </w:pPr>
            <w:r>
              <w:rPr>
                <w:sz w:val="24"/>
              </w:rPr>
              <w:t>GB 4706.32-2012</w:t>
            </w:r>
          </w:p>
        </w:tc>
        <w:tc>
          <w:tcPr>
            <w:tcW w:w="7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r>
              <w:rPr>
                <w:sz w:val="24"/>
              </w:rPr>
              <w:t>●</w:t>
            </w:r>
          </w:p>
        </w:tc>
        <w:tc>
          <w:tcPr>
            <w:tcW w:w="7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2</w:t>
            </w:r>
          </w:p>
        </w:tc>
        <w:tc>
          <w:tcPr>
            <w:tcW w:w="19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对触及带电部件的防护</w:t>
            </w:r>
          </w:p>
        </w:tc>
        <w:tc>
          <w:tcPr>
            <w:tcW w:w="2129"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3</w:t>
            </w:r>
          </w:p>
        </w:tc>
        <w:tc>
          <w:tcPr>
            <w:tcW w:w="19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输入功率和电流</w:t>
            </w:r>
          </w:p>
        </w:tc>
        <w:tc>
          <w:tcPr>
            <w:tcW w:w="2129"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4</w:t>
            </w:r>
          </w:p>
        </w:tc>
        <w:tc>
          <w:tcPr>
            <w:tcW w:w="19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发热</w:t>
            </w:r>
          </w:p>
        </w:tc>
        <w:tc>
          <w:tcPr>
            <w:tcW w:w="2129"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5</w:t>
            </w:r>
          </w:p>
        </w:tc>
        <w:tc>
          <w:tcPr>
            <w:tcW w:w="19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工作温度下的泄漏电流和电气强度</w:t>
            </w:r>
          </w:p>
        </w:tc>
        <w:tc>
          <w:tcPr>
            <w:tcW w:w="2129"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6</w:t>
            </w:r>
          </w:p>
        </w:tc>
        <w:tc>
          <w:tcPr>
            <w:tcW w:w="19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耐潮湿</w:t>
            </w:r>
          </w:p>
        </w:tc>
        <w:tc>
          <w:tcPr>
            <w:tcW w:w="2129"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7</w:t>
            </w:r>
          </w:p>
        </w:tc>
        <w:tc>
          <w:tcPr>
            <w:tcW w:w="19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泄漏电流和电气强度</w:t>
            </w:r>
          </w:p>
        </w:tc>
        <w:tc>
          <w:tcPr>
            <w:tcW w:w="2129"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8</w:t>
            </w:r>
          </w:p>
        </w:tc>
        <w:tc>
          <w:tcPr>
            <w:tcW w:w="19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稳定性和机械危险</w:t>
            </w:r>
          </w:p>
        </w:tc>
        <w:tc>
          <w:tcPr>
            <w:tcW w:w="2129"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9</w:t>
            </w:r>
          </w:p>
        </w:tc>
        <w:tc>
          <w:tcPr>
            <w:tcW w:w="19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机械强度</w:t>
            </w:r>
          </w:p>
        </w:tc>
        <w:tc>
          <w:tcPr>
            <w:tcW w:w="2129"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10</w:t>
            </w:r>
          </w:p>
        </w:tc>
        <w:tc>
          <w:tcPr>
            <w:tcW w:w="19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结构</w:t>
            </w:r>
          </w:p>
        </w:tc>
        <w:tc>
          <w:tcPr>
            <w:tcW w:w="2129"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11</w:t>
            </w:r>
          </w:p>
        </w:tc>
        <w:tc>
          <w:tcPr>
            <w:tcW w:w="19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内部布线</w:t>
            </w:r>
          </w:p>
        </w:tc>
        <w:tc>
          <w:tcPr>
            <w:tcW w:w="2129"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12</w:t>
            </w:r>
          </w:p>
        </w:tc>
        <w:tc>
          <w:tcPr>
            <w:tcW w:w="19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电源连接及外部软线</w:t>
            </w:r>
          </w:p>
        </w:tc>
        <w:tc>
          <w:tcPr>
            <w:tcW w:w="2129" w:type="dxa"/>
            <w:vMerge w:val="restart"/>
            <w:tcBorders>
              <w:left w:val="single" w:color="auto" w:sz="4" w:space="0"/>
              <w:right w:val="single" w:color="auto" w:sz="4" w:space="0"/>
            </w:tcBorders>
            <w:vAlign w:val="center"/>
          </w:tcPr>
          <w:p>
            <w:pPr>
              <w:snapToGrid w:val="0"/>
              <w:jc w:val="center"/>
              <w:rPr>
                <w:sz w:val="24"/>
              </w:rPr>
            </w:pPr>
            <w:r>
              <w:rPr>
                <w:sz w:val="24"/>
              </w:rPr>
              <w:t>GB 4706.1-</w:t>
            </w:r>
            <w:r>
              <w:rPr>
                <w:rFonts w:hint="eastAsia"/>
                <w:sz w:val="24"/>
              </w:rPr>
              <w:t>1998</w:t>
            </w:r>
          </w:p>
          <w:p>
            <w:pPr>
              <w:snapToGrid w:val="0"/>
              <w:jc w:val="center"/>
              <w:rPr>
                <w:sz w:val="24"/>
              </w:rPr>
            </w:pPr>
            <w:r>
              <w:rPr>
                <w:sz w:val="24"/>
              </w:rPr>
              <w:t>GB 4706.1-2005</w:t>
            </w:r>
          </w:p>
          <w:p>
            <w:pPr>
              <w:snapToGrid w:val="0"/>
              <w:jc w:val="center"/>
              <w:rPr>
                <w:sz w:val="24"/>
              </w:rPr>
            </w:pPr>
            <w:r>
              <w:rPr>
                <w:rFonts w:hint="eastAsia"/>
                <w:sz w:val="24"/>
              </w:rPr>
              <w:t>GB 4706.12-2006</w:t>
            </w:r>
          </w:p>
          <w:p>
            <w:pPr>
              <w:jc w:val="center"/>
              <w:rPr>
                <w:rFonts w:ascii="宋体" w:hAnsi="宋体" w:eastAsia="宋体" w:cs="宋体"/>
                <w:sz w:val="24"/>
              </w:rPr>
            </w:pPr>
            <w:r>
              <w:rPr>
                <w:sz w:val="24"/>
              </w:rPr>
              <w:t>GB 4706.32-2012</w:t>
            </w:r>
          </w:p>
        </w:tc>
        <w:tc>
          <w:tcPr>
            <w:tcW w:w="7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13</w:t>
            </w:r>
          </w:p>
        </w:tc>
        <w:tc>
          <w:tcPr>
            <w:tcW w:w="19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外部导线用接线端子</w:t>
            </w:r>
          </w:p>
        </w:tc>
        <w:tc>
          <w:tcPr>
            <w:tcW w:w="2129"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14</w:t>
            </w:r>
          </w:p>
        </w:tc>
        <w:tc>
          <w:tcPr>
            <w:tcW w:w="19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接地措施</w:t>
            </w:r>
          </w:p>
        </w:tc>
        <w:tc>
          <w:tcPr>
            <w:tcW w:w="2129"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15</w:t>
            </w:r>
          </w:p>
        </w:tc>
        <w:tc>
          <w:tcPr>
            <w:tcW w:w="19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螺钉和连接</w:t>
            </w:r>
          </w:p>
        </w:tc>
        <w:tc>
          <w:tcPr>
            <w:tcW w:w="2129"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16</w:t>
            </w:r>
          </w:p>
        </w:tc>
        <w:tc>
          <w:tcPr>
            <w:tcW w:w="19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电气间隙、爬电距离和固体绝缘</w:t>
            </w:r>
          </w:p>
        </w:tc>
        <w:tc>
          <w:tcPr>
            <w:tcW w:w="2129"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17</w:t>
            </w:r>
          </w:p>
        </w:tc>
        <w:tc>
          <w:tcPr>
            <w:tcW w:w="19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性能系数</w:t>
            </w:r>
          </w:p>
        </w:tc>
        <w:tc>
          <w:tcPr>
            <w:tcW w:w="2129" w:type="dxa"/>
            <w:vMerge w:val="restart"/>
            <w:tcBorders>
              <w:left w:val="single" w:color="auto" w:sz="4" w:space="0"/>
              <w:right w:val="single" w:color="auto" w:sz="4" w:space="0"/>
            </w:tcBorders>
            <w:vAlign w:val="center"/>
          </w:tcPr>
          <w:p>
            <w:pPr>
              <w:snapToGrid w:val="0"/>
              <w:rPr>
                <w:sz w:val="24"/>
              </w:rPr>
            </w:pPr>
            <w:r>
              <w:rPr>
                <w:sz w:val="24"/>
              </w:rPr>
              <w:t>GB/T</w:t>
            </w:r>
            <w:r>
              <w:rPr>
                <w:rFonts w:hint="eastAsia"/>
                <w:sz w:val="24"/>
              </w:rPr>
              <w:t xml:space="preserve"> </w:t>
            </w:r>
            <w:r>
              <w:rPr>
                <w:sz w:val="24"/>
              </w:rPr>
              <w:t>21362-</w:t>
            </w:r>
            <w:r>
              <w:rPr>
                <w:rFonts w:hint="eastAsia"/>
                <w:sz w:val="24"/>
              </w:rPr>
              <w:t>2008</w:t>
            </w:r>
          </w:p>
          <w:p>
            <w:pPr>
              <w:snapToGrid w:val="0"/>
              <w:jc w:val="center"/>
              <w:rPr>
                <w:sz w:val="24"/>
              </w:rPr>
            </w:pPr>
            <w:r>
              <w:rPr>
                <w:sz w:val="24"/>
              </w:rPr>
              <w:t>GB/T</w:t>
            </w:r>
            <w:r>
              <w:rPr>
                <w:rFonts w:hint="eastAsia"/>
                <w:sz w:val="24"/>
              </w:rPr>
              <w:t xml:space="preserve"> </w:t>
            </w:r>
            <w:r>
              <w:rPr>
                <w:sz w:val="24"/>
              </w:rPr>
              <w:t>23137-20</w:t>
            </w:r>
            <w:r>
              <w:rPr>
                <w:rFonts w:hint="eastAsia"/>
                <w:sz w:val="24"/>
              </w:rPr>
              <w:t>20</w:t>
            </w:r>
          </w:p>
          <w:p>
            <w:pPr>
              <w:jc w:val="center"/>
              <w:rPr>
                <w:rFonts w:ascii="宋体" w:hAnsi="宋体" w:eastAsia="宋体" w:cs="宋体"/>
                <w:sz w:val="24"/>
              </w:rPr>
            </w:pPr>
            <w:r>
              <w:rPr>
                <w:sz w:val="24"/>
              </w:rPr>
              <w:t>GB 29541-2013</w:t>
            </w:r>
          </w:p>
        </w:tc>
        <w:tc>
          <w:tcPr>
            <w:tcW w:w="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18</w:t>
            </w:r>
          </w:p>
        </w:tc>
        <w:tc>
          <w:tcPr>
            <w:tcW w:w="19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制热量</w:t>
            </w:r>
          </w:p>
        </w:tc>
        <w:tc>
          <w:tcPr>
            <w:tcW w:w="2129"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19</w:t>
            </w:r>
          </w:p>
        </w:tc>
        <w:tc>
          <w:tcPr>
            <w:tcW w:w="19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制热消耗功率</w:t>
            </w:r>
          </w:p>
        </w:tc>
        <w:tc>
          <w:tcPr>
            <w:tcW w:w="2129"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20</w:t>
            </w:r>
          </w:p>
        </w:tc>
        <w:tc>
          <w:tcPr>
            <w:tcW w:w="19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r>
              <w:rPr>
                <w:rFonts w:hint="eastAsia" w:ascii="宋体" w:hAnsi="宋体" w:eastAsia="宋体" w:cs="宋体"/>
                <w:sz w:val="24"/>
              </w:rPr>
              <w:t>能效限定值</w:t>
            </w:r>
          </w:p>
        </w:tc>
        <w:tc>
          <w:tcPr>
            <w:tcW w:w="2129"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 w:val="24"/>
              </w:rPr>
            </w:pPr>
          </w:p>
        </w:tc>
      </w:tr>
    </w:tbl>
    <w:p>
      <w:pPr>
        <w:widowControl/>
        <w:spacing w:line="360" w:lineRule="auto"/>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注：执行企业标准、团体标准、地方标准的产品，检验项目参照上述内容执行。</w:t>
      </w:r>
    </w:p>
    <w:p>
      <w:pPr>
        <w:widowControl/>
        <w:spacing w:line="360" w:lineRule="auto"/>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凡是注日期的文件，其随后所有的修改单（不包括勘误的内容）或修订版不适用于本细则。凡是不注日期的文件，其最新版本适用于本细则。</w:t>
      </w:r>
    </w:p>
    <w:p>
      <w:pPr>
        <w:spacing w:line="360" w:lineRule="auto"/>
        <w:rPr>
          <w:rFonts w:ascii="黑体" w:hAnsi="黑体" w:eastAsia="黑体" w:cs="黑体"/>
          <w:color w:val="000000"/>
          <w:szCs w:val="32"/>
        </w:rPr>
      </w:pPr>
      <w:r>
        <w:rPr>
          <w:rFonts w:hint="eastAsia" w:ascii="黑体" w:hAnsi="黑体" w:eastAsia="黑体" w:cs="黑体"/>
          <w:color w:val="000000"/>
          <w:szCs w:val="32"/>
        </w:rPr>
        <w:t>三、判定规则</w:t>
      </w:r>
    </w:p>
    <w:p>
      <w:pPr>
        <w:adjustRightInd w:val="0"/>
        <w:snapToGrid w:val="0"/>
        <w:spacing w:line="59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（一）依据标准</w:t>
      </w:r>
    </w:p>
    <w:p>
      <w:pPr>
        <w:snapToGrid w:val="0"/>
        <w:spacing w:line="360" w:lineRule="auto"/>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 xml:space="preserve">GB 4706.1-2005《家用和类似用途电器的安全 </w:t>
      </w:r>
      <w:r>
        <w:rPr>
          <w:rFonts w:hint="eastAsia" w:ascii="仿宋_GB2312" w:hAnsi="仿宋_GB2312" w:eastAsia="仿宋_GB2312" w:cs="仿宋_GB2312"/>
        </w:rPr>
        <w:t>第一部分：通用要求</w:t>
      </w:r>
      <w:r>
        <w:rPr>
          <w:rFonts w:hint="eastAsia" w:ascii="仿宋_GB2312" w:hAnsi="仿宋_GB2312" w:eastAsia="仿宋_GB2312" w:cs="仿宋_GB2312"/>
          <w:color w:val="000000"/>
          <w:szCs w:val="32"/>
        </w:rPr>
        <w:t>》</w:t>
      </w:r>
    </w:p>
    <w:p>
      <w:pPr>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GB 4706.1-1998《家用和类似用途电器的安全 第一部分：通用要求》</w:t>
      </w:r>
    </w:p>
    <w:p>
      <w:pPr>
        <w:snapToGrid w:val="0"/>
        <w:spacing w:line="360" w:lineRule="auto"/>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GB 4706.12-2006《家用和类似用途电器的安全储水式热水器的特殊要求》</w:t>
      </w:r>
    </w:p>
    <w:p>
      <w:pPr>
        <w:snapToGrid w:val="0"/>
        <w:spacing w:line="360" w:lineRule="auto"/>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GB 4706.32-2012《家用和类似用途电器的安全热泵、空调器和除湿机的特殊要求》</w:t>
      </w:r>
    </w:p>
    <w:p>
      <w:pPr>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GB/T 23137-2020《家用和类似用途热泵热水器》</w:t>
      </w:r>
    </w:p>
    <w:p>
      <w:pPr>
        <w:snapToGrid w:val="0"/>
        <w:spacing w:line="360" w:lineRule="auto"/>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GB/T 21362-2008 《商业或工业用及类似用途的热泵热水机》</w:t>
      </w:r>
    </w:p>
    <w:p>
      <w:pPr>
        <w:snapToGrid w:val="0"/>
        <w:spacing w:line="360" w:lineRule="auto"/>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GB 29541-2013 《热泵热水机（器）能效限定值及能效等级》</w:t>
      </w:r>
    </w:p>
    <w:p>
      <w:pPr>
        <w:adjustRightInd w:val="0"/>
        <w:snapToGrid w:val="0"/>
        <w:spacing w:line="59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现行有效的企业标准、团体标准、地方标准及产品明示质量要求。</w:t>
      </w:r>
    </w:p>
    <w:p>
      <w:pPr>
        <w:adjustRightInd w:val="0"/>
        <w:snapToGrid w:val="0"/>
        <w:spacing w:line="59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（二）判定原则</w:t>
      </w:r>
    </w:p>
    <w:p>
      <w:pPr>
        <w:adjustRightInd w:val="0"/>
        <w:snapToGrid w:val="0"/>
        <w:spacing w:line="59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经检验，检验项目全部合格，判定为被抽查产品合格；检验项目中任一项或一项以上不合格，判定为被抽查产品不合格。</w:t>
      </w:r>
    </w:p>
    <w:p>
      <w:pPr>
        <w:adjustRightInd w:val="0"/>
        <w:snapToGrid w:val="0"/>
        <w:spacing w:line="59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当被检产品明示的质量要求高于本细则中检验项目依据的标准要求时，应按被检产品明示的质量要求判定。</w:t>
      </w:r>
    </w:p>
    <w:p>
      <w:pPr>
        <w:adjustRightInd w:val="0"/>
        <w:snapToGrid w:val="0"/>
        <w:spacing w:line="59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当被检产品明示的质量要求低于本细则中检验项目依据的强制性标准要求时，应按照强制性标准要求判定。</w:t>
      </w:r>
    </w:p>
    <w:p>
      <w:pPr>
        <w:adjustRightInd w:val="0"/>
        <w:snapToGrid w:val="0"/>
        <w:spacing w:line="59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当被检产品明示的质量要求低于或包含本细则中检验项目依据的推荐性标准要求时，应以被检产品明示的质量要求判定。</w:t>
      </w:r>
    </w:p>
    <w:p>
      <w:pPr>
        <w:adjustRightInd w:val="0"/>
        <w:snapToGrid w:val="0"/>
        <w:spacing w:line="59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当被检产品明示的质量要求缺少本细则中检验项目依据的强制性标准要求时，应按照强制性标准要求判定。</w:t>
      </w:r>
    </w:p>
    <w:p>
      <w:pPr>
        <w:adjustRightInd w:val="0"/>
        <w:snapToGrid w:val="0"/>
        <w:spacing w:line="59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当被检产品明示的质量要求缺少本细则中检验项目依据的推荐性标准要求时，该项目不参与判定。</w:t>
      </w:r>
    </w:p>
    <w:p>
      <w:pPr>
        <w:adjustRightInd w:val="0"/>
        <w:snapToGrid w:val="0"/>
        <w:spacing w:line="59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当被检样品未能提供有效的企业标准时，按相关国家或行业标准进行判定。</w:t>
      </w:r>
    </w:p>
    <w:p>
      <w:pPr>
        <w:adjustRightInd w:val="0"/>
        <w:snapToGrid w:val="0"/>
        <w:spacing w:line="59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当被检样品标签标识中执行标准信息和产品类别信息不明或有误，影响检测和判定时，可根据产品特点等信息判断和选择相关标准进行检验，并应在检验报告中作出相关说明。</w:t>
      </w:r>
    </w:p>
    <w:p>
      <w:pPr>
        <w:adjustRightInd w:val="0"/>
        <w:snapToGrid w:val="0"/>
        <w:spacing w:line="59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按照产品质量相关法律法规的规定判定。</w:t>
      </w:r>
    </w:p>
    <w:p>
      <w:pPr>
        <w:adjustRightInd w:val="0"/>
        <w:snapToGrid w:val="0"/>
        <w:spacing w:line="59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检验中发现因样品失效或者其他原因致使检验无法进行的，检验人员应如实记录，并提供相关证明材料，报送组织监督抽查的市场监管部门。</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mI2ZTEyY2ZkZmFiYzBhYjA4YmZlZTgxMmZjMWMifQ=="/>
  </w:docVars>
  <w:rsids>
    <w:rsidRoot w:val="00FA122C"/>
    <w:rsid w:val="00092474"/>
    <w:rsid w:val="001D251C"/>
    <w:rsid w:val="00381DA8"/>
    <w:rsid w:val="003B6A09"/>
    <w:rsid w:val="004017B7"/>
    <w:rsid w:val="00401CC3"/>
    <w:rsid w:val="00497A65"/>
    <w:rsid w:val="00677471"/>
    <w:rsid w:val="006E7448"/>
    <w:rsid w:val="009E5967"/>
    <w:rsid w:val="00A11EB0"/>
    <w:rsid w:val="00A54F00"/>
    <w:rsid w:val="00C524DD"/>
    <w:rsid w:val="00CC2AE2"/>
    <w:rsid w:val="00D95E51"/>
    <w:rsid w:val="00DC1206"/>
    <w:rsid w:val="00DF64CE"/>
    <w:rsid w:val="00E07756"/>
    <w:rsid w:val="00E21C4E"/>
    <w:rsid w:val="00EA3AF9"/>
    <w:rsid w:val="00FA122C"/>
    <w:rsid w:val="01537940"/>
    <w:rsid w:val="021358C1"/>
    <w:rsid w:val="08731931"/>
    <w:rsid w:val="107D6CF0"/>
    <w:rsid w:val="186B2B9A"/>
    <w:rsid w:val="282C019E"/>
    <w:rsid w:val="2A9E50B3"/>
    <w:rsid w:val="2AFD2C53"/>
    <w:rsid w:val="2C7F4919"/>
    <w:rsid w:val="36C02C25"/>
    <w:rsid w:val="38A256E7"/>
    <w:rsid w:val="3C315A4B"/>
    <w:rsid w:val="3D4E0B08"/>
    <w:rsid w:val="3EDA1C30"/>
    <w:rsid w:val="404C097D"/>
    <w:rsid w:val="46B303F3"/>
    <w:rsid w:val="49A07880"/>
    <w:rsid w:val="4ADC62C2"/>
    <w:rsid w:val="562F2BA3"/>
    <w:rsid w:val="590233BD"/>
    <w:rsid w:val="5F673CE5"/>
    <w:rsid w:val="61A70AD2"/>
    <w:rsid w:val="6A9C0E67"/>
    <w:rsid w:val="6EEE5A3B"/>
    <w:rsid w:val="70792B5B"/>
    <w:rsid w:val="743B4A92"/>
    <w:rsid w:val="7906664A"/>
    <w:rsid w:val="7B6315DB"/>
    <w:rsid w:val="FEFFB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left="720"/>
    </w:pPr>
  </w:style>
  <w:style w:type="paragraph" w:styleId="4">
    <w:name w:val="footer"/>
    <w:basedOn w:val="1"/>
    <w:link w:val="8"/>
    <w:qFormat/>
    <w:uiPriority w:val="0"/>
    <w:pPr>
      <w:tabs>
        <w:tab w:val="center" w:pos="4153"/>
        <w:tab w:val="right" w:pos="8306"/>
      </w:tabs>
      <w:snapToGrid w:val="0"/>
      <w:jc w:val="left"/>
    </w:pPr>
    <w:rPr>
      <w:sz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0"/>
    <w:rPr>
      <w:rFonts w:ascii="Times New Roman" w:hAnsi="Times New Roman" w:eastAsia="仿宋_GB2312" w:cs="Times New Roman"/>
      <w:sz w:val="18"/>
      <w:szCs w:val="24"/>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0">
    <w:name w:val="一级条标题"/>
    <w:next w:val="9"/>
    <w:qFormat/>
    <w:uiPriority w:val="0"/>
    <w:pPr>
      <w:spacing w:beforeLines="50" w:afterLines="50"/>
      <w:ind w:left="716"/>
      <w:outlineLvl w:val="2"/>
    </w:pPr>
    <w:rPr>
      <w:rFonts w:ascii="黑体" w:hAnsi="Calibri" w:eastAsia="黑体" w:cs="Times New Roman"/>
      <w:sz w:val="21"/>
      <w:szCs w:val="21"/>
      <w:lang w:val="en-US" w:eastAsia="zh-CN" w:bidi="ar-SA"/>
    </w:rPr>
  </w:style>
  <w:style w:type="paragraph" w:customStyle="1" w:styleId="11">
    <w:name w:val="二级条标题"/>
    <w:basedOn w:val="10"/>
    <w:next w:val="9"/>
    <w:qFormat/>
    <w:uiPriority w:val="0"/>
    <w:pPr>
      <w:spacing w:before="50" w:after="50"/>
      <w:outlineLvl w:val="3"/>
    </w:pPr>
  </w:style>
  <w:style w:type="paragraph" w:customStyle="1" w:styleId="12">
    <w:name w:val="列出段落2"/>
    <w:basedOn w:val="1"/>
    <w:unhideWhenUsed/>
    <w:qFormat/>
    <w:uiPriority w:val="99"/>
    <w:pPr>
      <w:ind w:firstLine="420" w:firstLineChars="200"/>
    </w:pPr>
    <w:rPr>
      <w:sz w:val="30"/>
    </w:rPr>
  </w:style>
  <w:style w:type="paragraph" w:customStyle="1" w:styleId="13">
    <w:name w:val="Table Paragraph"/>
    <w:basedOn w:val="1"/>
    <w:qFormat/>
    <w:uiPriority w:val="0"/>
    <w:pPr>
      <w:jc w:val="left"/>
    </w:pPr>
    <w:rPr>
      <w:rFonts w:ascii="Calibri" w:hAnsi="Calibri"/>
      <w:kern w:val="0"/>
      <w:sz w:val="22"/>
      <w:szCs w:val="22"/>
      <w:lang w:eastAsia="en-US"/>
    </w:rPr>
  </w:style>
  <w:style w:type="character" w:customStyle="1" w:styleId="14">
    <w:name w:val="页眉 Char"/>
    <w:basedOn w:val="7"/>
    <w:link w:val="5"/>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4</Pages>
  <Words>252</Words>
  <Characters>1438</Characters>
  <Lines>11</Lines>
  <Paragraphs>3</Paragraphs>
  <TotalTime>19</TotalTime>
  <ScaleCrop>false</ScaleCrop>
  <LinksUpToDate>false</LinksUpToDate>
  <CharactersWithSpaces>1687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2020-07-22T09:55:00Z</dcterms:created>
  <dc:creator>zyw</dc:creator>
  <cp:lastModifiedBy>dxkj</cp:lastModifiedBy>
  <cp:lastPrinted>2021-03-01T09:17:00Z</cp:lastPrinted>
  <dcterms:modified xsi:type="dcterms:W3CDTF">2023-04-06T15:18:23Z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2C8F264929B14C5D8974DDE04BDFCE7A</vt:lpwstr>
  </property>
</Properties>
</file>