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val="en-US" w:eastAsia="zh-CN"/>
        </w:rPr>
      </w:pPr>
      <w:r>
        <w:rPr>
          <w:rFonts w:hint="eastAsia" w:ascii="宋体" w:hAnsi="宋体"/>
        </w:rPr>
        <w:t>附件</w:t>
      </w:r>
      <w:r>
        <w:rPr>
          <w:rFonts w:hint="eastAsia" w:ascii="宋体" w:hAnsi="宋体"/>
          <w:lang w:val="en-US" w:eastAsia="zh-CN"/>
        </w:rPr>
        <w:t>3</w:t>
      </w:r>
    </w:p>
    <w:p>
      <w:pPr>
        <w:jc w:val="center"/>
        <w:rPr>
          <w:rFonts w:hint="eastAsia" w:ascii="Calibri" w:eastAsia="宋体"/>
          <w:sz w:val="21"/>
          <w:szCs w:val="21"/>
        </w:rPr>
      </w:pPr>
      <w:r>
        <w:rPr>
          <w:rFonts w:hint="eastAsia" w:ascii="方正小标宋简体" w:eastAsia="方正小标宋简体"/>
          <w:color w:val="000000"/>
          <w:sz w:val="36"/>
          <w:szCs w:val="36"/>
        </w:rPr>
        <w:t>2023年省级财政专项资金目录清单</w:t>
      </w:r>
      <w:r>
        <w:t xml:space="preserve"> </w:t>
      </w:r>
    </w:p>
    <w:p>
      <w:pPr>
        <w:jc w:val="left"/>
      </w:pPr>
      <w:r>
        <w:rPr>
          <w:rFonts w:hint="eastAsia" w:ascii="宋体" w:hAnsi="宋体"/>
        </w:rPr>
        <w:t>主管部门：</w:t>
      </w:r>
      <w:r>
        <w:rPr>
          <w:rFonts w:hint="eastAsia" w:ascii="宋体" w:hAnsi="宋体"/>
          <w:lang w:eastAsia="zh-CN"/>
        </w:rPr>
        <w:t>河源市</w:t>
      </w:r>
      <w:r>
        <w:rPr>
          <w:rFonts w:hint="eastAsia" w:ascii="宋体" w:hAnsi="宋体"/>
        </w:rPr>
        <w:t>市场监督管理局</w:t>
      </w:r>
      <w:r>
        <w:rPr>
          <w:rFonts w:hint="eastAsia"/>
        </w:rPr>
        <w:t xml:space="preserve">                                                </w:t>
      </w:r>
      <w:r>
        <w:rPr>
          <w:rFonts w:hint="eastAsia" w:ascii="宋体" w:hAnsi="宋体"/>
        </w:rPr>
        <w:t>单位：万元</w:t>
      </w:r>
      <w:r>
        <w:rPr>
          <w:rFonts w:hint="eastAsia"/>
        </w:rPr>
        <w:t xml:space="preserve"> </w:t>
      </w:r>
    </w:p>
    <w:tbl>
      <w:tblPr>
        <w:tblStyle w:val="2"/>
        <w:tblW w:w="13988" w:type="dxa"/>
        <w:tblInd w:w="93" w:type="dxa"/>
        <w:tblLayout w:type="fixed"/>
        <w:tblCellMar>
          <w:top w:w="0" w:type="dxa"/>
          <w:left w:w="0" w:type="dxa"/>
          <w:bottom w:w="0" w:type="dxa"/>
          <w:right w:w="0" w:type="dxa"/>
        </w:tblCellMar>
      </w:tblPr>
      <w:tblGrid>
        <w:gridCol w:w="1251"/>
        <w:gridCol w:w="586"/>
        <w:gridCol w:w="739"/>
        <w:gridCol w:w="3852"/>
        <w:gridCol w:w="3893"/>
        <w:gridCol w:w="910"/>
        <w:gridCol w:w="765"/>
        <w:gridCol w:w="699"/>
        <w:gridCol w:w="683"/>
        <w:gridCol w:w="610"/>
      </w:tblGrid>
      <w:tr>
        <w:tblPrEx>
          <w:tblCellMar>
            <w:top w:w="0" w:type="dxa"/>
            <w:left w:w="0" w:type="dxa"/>
            <w:bottom w:w="0" w:type="dxa"/>
            <w:right w:w="0" w:type="dxa"/>
          </w:tblCellMar>
        </w:tblPrEx>
        <w:trPr>
          <w:trHeight w:val="342" w:hRule="atLeast"/>
          <w:tblHeader/>
        </w:trPr>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专项资金名称</w:t>
            </w:r>
          </w:p>
        </w:tc>
        <w:tc>
          <w:tcPr>
            <w:tcW w:w="586"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财政事权</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政策任务</w:t>
            </w:r>
          </w:p>
        </w:tc>
        <w:tc>
          <w:tcPr>
            <w:tcW w:w="3852"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主要用途</w:t>
            </w:r>
          </w:p>
        </w:tc>
        <w:tc>
          <w:tcPr>
            <w:tcW w:w="3893"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绩效目标</w:t>
            </w:r>
          </w:p>
        </w:tc>
        <w:tc>
          <w:tcPr>
            <w:tcW w:w="910"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资金额度</w:t>
            </w:r>
          </w:p>
        </w:tc>
        <w:tc>
          <w:tcPr>
            <w:tcW w:w="2147"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审批权限设置</w:t>
            </w:r>
          </w:p>
        </w:tc>
        <w:tc>
          <w:tcPr>
            <w:tcW w:w="61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备注</w:t>
            </w:r>
          </w:p>
        </w:tc>
      </w:tr>
      <w:tr>
        <w:tblPrEx>
          <w:tblCellMar>
            <w:top w:w="0" w:type="dxa"/>
            <w:left w:w="0" w:type="dxa"/>
            <w:bottom w:w="0" w:type="dxa"/>
            <w:right w:w="0" w:type="dxa"/>
          </w:tblCellMar>
        </w:tblPrEx>
        <w:trPr>
          <w:trHeight w:val="510" w:hRule="atLeast"/>
          <w:tblHeader/>
        </w:trPr>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（战略领域名称）</w:t>
            </w:r>
          </w:p>
        </w:tc>
        <w:tc>
          <w:tcPr>
            <w:tcW w:w="58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b/>
                <w:bCs/>
                <w:color w:val="000000"/>
                <w:sz w:val="21"/>
                <w:szCs w:val="21"/>
              </w:rPr>
            </w:pPr>
          </w:p>
        </w:tc>
        <w:tc>
          <w:tcPr>
            <w:tcW w:w="73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b/>
                <w:bCs/>
                <w:color w:val="000000"/>
                <w:sz w:val="21"/>
                <w:szCs w:val="21"/>
              </w:rPr>
            </w:pPr>
          </w:p>
        </w:tc>
        <w:tc>
          <w:tcPr>
            <w:tcW w:w="385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b/>
                <w:bCs/>
                <w:color w:val="000000"/>
                <w:sz w:val="21"/>
                <w:szCs w:val="21"/>
              </w:rPr>
            </w:pPr>
          </w:p>
        </w:tc>
        <w:tc>
          <w:tcPr>
            <w:tcW w:w="389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b/>
                <w:bCs/>
                <w:color w:val="000000"/>
                <w:sz w:val="21"/>
                <w:szCs w:val="21"/>
              </w:rPr>
            </w:pPr>
          </w:p>
        </w:tc>
        <w:tc>
          <w:tcPr>
            <w:tcW w:w="91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b/>
                <w:bCs/>
                <w:color w:val="000000"/>
                <w:sz w:val="21"/>
                <w:szCs w:val="21"/>
              </w:rPr>
            </w:pPr>
          </w:p>
        </w:tc>
        <w:tc>
          <w:tcPr>
            <w:tcW w:w="76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保留</w:t>
            </w:r>
            <w:r>
              <w:rPr>
                <w:rFonts w:hint="eastAsia" w:ascii="宋体" w:hAnsi="宋体"/>
                <w:b/>
                <w:bCs/>
                <w:color w:val="000000"/>
                <w:kern w:val="0"/>
                <w:sz w:val="21"/>
                <w:szCs w:val="21"/>
                <w:lang w:eastAsia="zh-CN"/>
              </w:rPr>
              <w:t>市</w:t>
            </w:r>
            <w:r>
              <w:rPr>
                <w:rFonts w:hint="eastAsia" w:ascii="宋体" w:hAnsi="宋体"/>
                <w:b/>
                <w:bCs/>
                <w:color w:val="000000"/>
                <w:kern w:val="0"/>
                <w:sz w:val="21"/>
                <w:szCs w:val="21"/>
              </w:rPr>
              <w:t>级审批</w:t>
            </w:r>
          </w:p>
        </w:tc>
        <w:tc>
          <w:tcPr>
            <w:tcW w:w="6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宋体"/>
                <w:b/>
                <w:bCs/>
                <w:color w:val="000000"/>
                <w:sz w:val="21"/>
                <w:szCs w:val="21"/>
              </w:rPr>
            </w:pPr>
            <w:r>
              <w:rPr>
                <w:rFonts w:hint="eastAsia" w:ascii="宋体" w:hAnsi="宋体"/>
                <w:b/>
                <w:bCs/>
                <w:color w:val="000000"/>
                <w:kern w:val="0"/>
                <w:sz w:val="21"/>
                <w:szCs w:val="21"/>
              </w:rPr>
              <w:t>下放用款单位</w:t>
            </w:r>
          </w:p>
        </w:tc>
        <w:tc>
          <w:tcPr>
            <w:tcW w:w="68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仿宋_GB2312"/>
                <w:b/>
                <w:bCs/>
                <w:color w:val="000000"/>
                <w:sz w:val="21"/>
                <w:szCs w:val="21"/>
                <w:lang w:eastAsia="zh-CN"/>
              </w:rPr>
            </w:pPr>
            <w:r>
              <w:rPr>
                <w:rFonts w:hint="eastAsia" w:ascii="宋体" w:hAnsi="宋体"/>
                <w:b/>
                <w:bCs/>
                <w:color w:val="000000"/>
                <w:kern w:val="0"/>
                <w:sz w:val="21"/>
                <w:szCs w:val="21"/>
              </w:rPr>
              <w:t>下放</w:t>
            </w:r>
            <w:r>
              <w:rPr>
                <w:rFonts w:hint="eastAsia" w:ascii="宋体" w:hAnsi="宋体"/>
                <w:b/>
                <w:bCs/>
                <w:color w:val="000000"/>
                <w:kern w:val="0"/>
                <w:sz w:val="21"/>
                <w:szCs w:val="21"/>
              </w:rPr>
              <w:br w:type="textWrapping"/>
            </w:r>
            <w:r>
              <w:rPr>
                <w:rFonts w:hint="eastAsia" w:ascii="宋体" w:hAnsi="宋体"/>
                <w:b/>
                <w:bCs/>
                <w:color w:val="000000"/>
                <w:kern w:val="0"/>
                <w:sz w:val="21"/>
                <w:szCs w:val="21"/>
              </w:rPr>
              <w:t>县</w:t>
            </w:r>
            <w:r>
              <w:rPr>
                <w:rFonts w:hint="eastAsia" w:ascii="宋体" w:hAnsi="宋体"/>
                <w:b/>
                <w:bCs/>
                <w:color w:val="000000"/>
                <w:kern w:val="0"/>
                <w:sz w:val="21"/>
                <w:szCs w:val="21"/>
                <w:lang w:eastAsia="zh-CN"/>
              </w:rPr>
              <w:t>区</w:t>
            </w:r>
          </w:p>
        </w:tc>
        <w:tc>
          <w:tcPr>
            <w:tcW w:w="61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eastAsia="宋体"/>
                <w:b/>
                <w:bCs/>
                <w:color w:val="000000"/>
                <w:sz w:val="21"/>
                <w:szCs w:val="21"/>
              </w:rPr>
            </w:pPr>
          </w:p>
        </w:tc>
      </w:tr>
      <w:tr>
        <w:tblPrEx>
          <w:tblCellMar>
            <w:top w:w="0" w:type="dxa"/>
            <w:left w:w="0" w:type="dxa"/>
            <w:bottom w:w="0" w:type="dxa"/>
            <w:right w:w="0" w:type="dxa"/>
          </w:tblCellMar>
        </w:tblPrEx>
        <w:trPr>
          <w:trHeight w:val="2039" w:hRule="atLeast"/>
        </w:trPr>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rPr>
              <w:t>省财政药品监管补助资金</w:t>
            </w:r>
          </w:p>
        </w:tc>
        <w:tc>
          <w:tcPr>
            <w:tcW w:w="58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lang w:eastAsia="zh-CN"/>
              </w:rPr>
              <w:t>药品</w:t>
            </w:r>
            <w:r>
              <w:rPr>
                <w:rFonts w:hint="eastAsia" w:ascii="宋体" w:hAnsi="宋体"/>
                <w:color w:val="000000"/>
                <w:kern w:val="0"/>
                <w:sz w:val="22"/>
                <w:szCs w:val="22"/>
              </w:rPr>
              <w:t>监督管理</w:t>
            </w:r>
          </w:p>
        </w:tc>
        <w:tc>
          <w:tcPr>
            <w:tcW w:w="73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宋体"/>
                <w:color w:val="000000"/>
                <w:sz w:val="22"/>
                <w:szCs w:val="22"/>
                <w:lang w:eastAsia="zh-CN"/>
              </w:rPr>
            </w:pPr>
            <w:r>
              <w:rPr>
                <w:rFonts w:hint="eastAsia" w:ascii="宋体" w:hAnsi="宋体" w:eastAsia="宋体"/>
                <w:color w:val="000000"/>
                <w:kern w:val="0"/>
                <w:sz w:val="22"/>
                <w:szCs w:val="22"/>
                <w:lang w:eastAsia="zh-CN"/>
              </w:rPr>
              <w:t>药品监督管理</w:t>
            </w:r>
          </w:p>
        </w:tc>
        <w:tc>
          <w:tcPr>
            <w:tcW w:w="38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仿宋_GB2312"/>
                <w:color w:val="000000"/>
                <w:sz w:val="22"/>
                <w:szCs w:val="22"/>
                <w:lang w:eastAsia="zh-CN"/>
              </w:rPr>
            </w:pPr>
            <w:r>
              <w:rPr>
                <w:rFonts w:hint="eastAsia" w:ascii="宋体" w:hAnsi="宋体"/>
                <w:color w:val="000000"/>
                <w:kern w:val="0"/>
                <w:sz w:val="22"/>
                <w:szCs w:val="22"/>
              </w:rPr>
              <w:t>用于</w:t>
            </w:r>
            <w:bookmarkStart w:id="0" w:name="_GoBack"/>
            <w:bookmarkEnd w:id="0"/>
            <w:r>
              <w:rPr>
                <w:rFonts w:hint="eastAsia" w:ascii="宋体" w:hAnsi="宋体"/>
                <w:color w:val="000000"/>
                <w:kern w:val="0"/>
                <w:sz w:val="22"/>
                <w:szCs w:val="22"/>
              </w:rPr>
              <w:t>药品医疗器械化妆品抽检、</w:t>
            </w:r>
            <w:r>
              <w:rPr>
                <w:rFonts w:hint="eastAsia" w:ascii="宋体" w:hAnsi="宋体"/>
                <w:color w:val="000000"/>
                <w:kern w:val="0"/>
                <w:sz w:val="22"/>
                <w:szCs w:val="22"/>
                <w:lang w:eastAsia="zh-CN"/>
              </w:rPr>
              <w:t>药品稽查执法及综合监管、药品执法检查基本装备达标建设及地市药品检验机构</w:t>
            </w:r>
            <w:r>
              <w:rPr>
                <w:rFonts w:hint="eastAsia" w:ascii="宋体" w:hAnsi="宋体"/>
                <w:color w:val="000000"/>
                <w:kern w:val="0"/>
                <w:sz w:val="22"/>
                <w:szCs w:val="22"/>
              </w:rPr>
              <w:t>药品化妆品检验检测能力建设</w:t>
            </w:r>
            <w:r>
              <w:rPr>
                <w:rFonts w:hint="eastAsia" w:ascii="宋体" w:hAnsi="宋体"/>
                <w:color w:val="000000"/>
                <w:kern w:val="0"/>
                <w:sz w:val="22"/>
                <w:szCs w:val="22"/>
                <w:lang w:eastAsia="zh-CN"/>
              </w:rPr>
              <w:t>、</w:t>
            </w:r>
            <w:r>
              <w:rPr>
                <w:rFonts w:hint="eastAsia" w:ascii="宋体" w:hAnsi="宋体"/>
                <w:color w:val="000000"/>
                <w:kern w:val="0"/>
                <w:sz w:val="22"/>
                <w:szCs w:val="22"/>
              </w:rPr>
              <w:t>进一步加强药品监管干部培训</w:t>
            </w:r>
            <w:r>
              <w:rPr>
                <w:rFonts w:hint="eastAsia" w:ascii="宋体" w:hAnsi="宋体"/>
                <w:color w:val="000000"/>
                <w:kern w:val="0"/>
                <w:sz w:val="22"/>
                <w:szCs w:val="22"/>
                <w:lang w:eastAsia="zh-CN"/>
              </w:rPr>
              <w:t>，开展地方队伍能力建设工作。</w:t>
            </w:r>
          </w:p>
        </w:tc>
        <w:tc>
          <w:tcPr>
            <w:tcW w:w="38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1.通过开展药品质量抽验，发现、降低和消除不合格药品导致的安全风险，药品、医疗器械、化妆品抽检不合格产品查处率达100%，广东省生产的国家药品集采品种抽检覆盖率达100%。</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2.促进粤东西北地区地市药品检验机构保持必要检验检测仪器设备完好并适当提升自动化水平，保持常规检验能力并适度增强服务监管和产业能力，粤东西北地市药品、化妆品检验机构能力建设达到C-。</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3.严查一批违法违规行为、彻查一批大案要案、移送一批刑事案件，形成高压态势和震慑作用，严厉打击药品安全违法犯罪，重大案件查办率达100%。</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4.继续推进地市、县级监管队伍装备配备标准化，提升粤东西北地区药品执法检查装备水平。</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5.对标《全国药品监督管理系统执法检查基本装备配备指导标准》，按照轻重缓急，分步开展地市级、县级标准化配置，2023年河源市本级药品执法检查基本装备类装备配备率达到80%，东源县药品执法检查基本装备类装备配备率达到80%，和平县药品执法检查基本装备类装备配备率达到80%。</w:t>
            </w:r>
          </w:p>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rPr>
              <w:t>6.进一步加强药品监管干部培训，不断提高药品监管队伍能力建设，药品监管在职干部参加培训比例达70%。</w:t>
            </w:r>
          </w:p>
        </w:tc>
        <w:tc>
          <w:tcPr>
            <w:tcW w:w="91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olor w:val="000000"/>
                <w:sz w:val="21"/>
                <w:szCs w:val="21"/>
              </w:rPr>
            </w:pPr>
            <w:r>
              <w:rPr>
                <w:rFonts w:hint="eastAsia" w:ascii="宋体" w:hAnsi="宋体"/>
                <w:color w:val="000000"/>
                <w:kern w:val="0"/>
                <w:sz w:val="21"/>
                <w:szCs w:val="21"/>
                <w:lang w:val="en-US" w:eastAsia="zh-CN"/>
              </w:rPr>
              <w:t>448.82</w:t>
            </w:r>
            <w:r>
              <w:rPr>
                <w:rFonts w:hint="eastAsia" w:ascii="宋体" w:hAnsi="宋体"/>
                <w:color w:val="000000"/>
                <w:kern w:val="0"/>
                <w:sz w:val="21"/>
                <w:szCs w:val="21"/>
              </w:rPr>
              <w:t xml:space="preserve"> </w:t>
            </w:r>
          </w:p>
        </w:tc>
        <w:tc>
          <w:tcPr>
            <w:tcW w:w="76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宋体" w:eastAsia="仿宋_GB2312"/>
                <w:color w:val="000000"/>
                <w:sz w:val="21"/>
                <w:szCs w:val="21"/>
                <w:lang w:val="en-US" w:eastAsia="zh-CN"/>
              </w:rPr>
            </w:pPr>
            <w:r>
              <w:rPr>
                <w:rFonts w:hint="eastAsia" w:ascii="仿宋_GB2312" w:hAnsi="宋体"/>
                <w:color w:val="000000"/>
                <w:kern w:val="0"/>
                <w:sz w:val="21"/>
                <w:szCs w:val="21"/>
                <w:lang w:val="en-US" w:eastAsia="zh-CN"/>
              </w:rPr>
              <w:t>302.43</w:t>
            </w:r>
          </w:p>
        </w:tc>
        <w:tc>
          <w:tcPr>
            <w:tcW w:w="6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color w:val="000000"/>
                <w:sz w:val="21"/>
                <w:szCs w:val="21"/>
              </w:rPr>
            </w:pPr>
          </w:p>
        </w:tc>
        <w:tc>
          <w:tcPr>
            <w:tcW w:w="68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int="default" w:ascii="仿宋_GB2312" w:hAnsi="宋体" w:eastAsia="仿宋_GB2312"/>
                <w:color w:val="000000"/>
                <w:sz w:val="21"/>
                <w:szCs w:val="21"/>
                <w:lang w:val="en-US" w:eastAsia="zh-CN"/>
              </w:rPr>
            </w:pPr>
            <w:r>
              <w:rPr>
                <w:rFonts w:hint="eastAsia" w:ascii="仿宋_GB2312" w:hAnsi="宋体"/>
                <w:color w:val="000000"/>
                <w:sz w:val="21"/>
                <w:szCs w:val="21"/>
                <w:lang w:val="en-US" w:eastAsia="zh-CN"/>
              </w:rPr>
              <w:t>146.39</w:t>
            </w:r>
          </w:p>
        </w:tc>
        <w:tc>
          <w:tcPr>
            <w:tcW w:w="61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color w:val="000000"/>
                <w:sz w:val="21"/>
                <w:szCs w:val="21"/>
              </w:rPr>
            </w:pPr>
          </w:p>
        </w:tc>
      </w:tr>
      <w:tr>
        <w:tblPrEx>
          <w:tblCellMar>
            <w:top w:w="0" w:type="dxa"/>
            <w:left w:w="0" w:type="dxa"/>
            <w:bottom w:w="0" w:type="dxa"/>
            <w:right w:w="0" w:type="dxa"/>
          </w:tblCellMar>
        </w:tblPrEx>
        <w:trPr>
          <w:trHeight w:val="2640" w:hRule="atLeast"/>
        </w:trPr>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rPr>
              <w:t>促进经济高质量发展专项资金</w:t>
            </w:r>
          </w:p>
        </w:tc>
        <w:tc>
          <w:tcPr>
            <w:tcW w:w="58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rPr>
              <w:t>市场监督管理</w:t>
            </w:r>
          </w:p>
        </w:tc>
        <w:tc>
          <w:tcPr>
            <w:tcW w:w="73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rPr>
              <w:t>食品安全</w:t>
            </w:r>
          </w:p>
        </w:tc>
        <w:tc>
          <w:tcPr>
            <w:tcW w:w="38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rPr>
              <w:t>用于开展食品抽检及监管工作，完成年度食品安全抽检及风险监测任务，推进食用农产品快速检测，强化食品生产经营环节监管，对重点食品开展专项监管和问题整治，督促推动食品安全属地管理责任和企业食品安全主体责任落实。</w:t>
            </w:r>
          </w:p>
        </w:tc>
        <w:tc>
          <w:tcPr>
            <w:tcW w:w="38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全面落实监管责任，全面保障食品安全。</w:t>
            </w:r>
          </w:p>
          <w:p>
            <w:pPr>
              <w:widowControl/>
              <w:jc w:val="left"/>
              <w:textAlignment w:val="center"/>
              <w:rPr>
                <w:rFonts w:ascii="宋体" w:hAnsi="宋体" w:eastAsia="宋体"/>
                <w:color w:val="000000"/>
                <w:sz w:val="22"/>
                <w:szCs w:val="22"/>
              </w:rPr>
            </w:pPr>
            <w:r>
              <w:rPr>
                <w:rFonts w:hint="eastAsia" w:ascii="宋体" w:hAnsi="宋体"/>
                <w:color w:val="000000"/>
                <w:kern w:val="0"/>
                <w:sz w:val="22"/>
                <w:szCs w:val="22"/>
              </w:rPr>
              <w:t>人民群众的满足感不断增强，地方政府落实主体责任意识不断增强，食品安全风险管控水平逐步提高，不断促进辖区食品产业健康有序发展，市场环境得到进一步净化。</w:t>
            </w:r>
          </w:p>
        </w:tc>
        <w:tc>
          <w:tcPr>
            <w:tcW w:w="91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olor w:val="000000"/>
                <w:sz w:val="21"/>
                <w:szCs w:val="21"/>
              </w:rPr>
            </w:pPr>
            <w:r>
              <w:rPr>
                <w:rFonts w:hint="eastAsia" w:ascii="宋体" w:hAnsi="宋体"/>
                <w:color w:val="000000"/>
                <w:kern w:val="0"/>
                <w:sz w:val="21"/>
                <w:szCs w:val="21"/>
                <w:lang w:val="en-US" w:eastAsia="zh-CN"/>
              </w:rPr>
              <w:t>553</w:t>
            </w:r>
            <w:r>
              <w:rPr>
                <w:rFonts w:hint="eastAsia" w:ascii="宋体" w:hAnsi="宋体"/>
                <w:color w:val="000000"/>
                <w:kern w:val="0"/>
                <w:sz w:val="21"/>
                <w:szCs w:val="21"/>
              </w:rPr>
              <w:t xml:space="preserve"> </w:t>
            </w:r>
          </w:p>
        </w:tc>
        <w:tc>
          <w:tcPr>
            <w:tcW w:w="76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宋体" w:eastAsia="仿宋_GB2312"/>
                <w:color w:val="000000"/>
                <w:sz w:val="21"/>
                <w:szCs w:val="21"/>
                <w:lang w:val="en-US" w:eastAsia="zh-CN"/>
              </w:rPr>
            </w:pPr>
            <w:r>
              <w:rPr>
                <w:rFonts w:hint="eastAsia" w:ascii="仿宋_GB2312" w:hAnsi="宋体"/>
                <w:color w:val="000000"/>
                <w:kern w:val="0"/>
                <w:sz w:val="21"/>
                <w:szCs w:val="21"/>
                <w:lang w:val="en-US" w:eastAsia="zh-CN"/>
              </w:rPr>
              <w:t>455</w:t>
            </w:r>
          </w:p>
        </w:tc>
        <w:tc>
          <w:tcPr>
            <w:tcW w:w="6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color w:val="000000"/>
                <w:sz w:val="21"/>
                <w:szCs w:val="21"/>
              </w:rPr>
            </w:pPr>
          </w:p>
        </w:tc>
        <w:tc>
          <w:tcPr>
            <w:tcW w:w="68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宋体" w:eastAsia="仿宋_GB2312"/>
                <w:color w:val="000000"/>
                <w:sz w:val="21"/>
                <w:szCs w:val="21"/>
                <w:lang w:val="en-US" w:eastAsia="zh-CN"/>
              </w:rPr>
            </w:pPr>
            <w:r>
              <w:rPr>
                <w:rFonts w:hint="eastAsia" w:ascii="仿宋_GB2312" w:hAnsi="宋体"/>
                <w:color w:val="000000"/>
                <w:kern w:val="0"/>
                <w:sz w:val="21"/>
                <w:szCs w:val="21"/>
                <w:lang w:val="en-US" w:eastAsia="zh-CN"/>
              </w:rPr>
              <w:t>98</w:t>
            </w:r>
          </w:p>
        </w:tc>
        <w:tc>
          <w:tcPr>
            <w:tcW w:w="61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color w:val="000000"/>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73F1F"/>
    <w:rsid w:val="0D1562B7"/>
    <w:rsid w:val="34B7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2023-01-17T09:35:00Z</dcterms:created>
  <dc:creator>Administrator</dc:creator>
  <cp:lastModifiedBy>Administrator</cp:lastModifiedBy>
  <dcterms:modified xsi:type="dcterms:W3CDTF">2023-01-17T10:16:43Z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