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（一）山梨酸及其钾盐</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山梨酸及其钾盐抗菌性强，防腐效果好，是目前应用非常广泛的食品防腐剂</w:t>
      </w:r>
      <w:r>
        <w:rPr>
          <w:rFonts w:hint="eastAsia" w:ascii="仿宋_GB2312" w:hAnsi="仿宋_GB2312" w:eastAsia="仿宋_GB2312" w:cs="Times New Roman"/>
          <w:color w:val="auto"/>
          <w:w w:val="98"/>
          <w:kern w:val="2"/>
          <w:sz w:val="32"/>
          <w:szCs w:val="20"/>
          <w:lang w:val="en-US" w:eastAsia="zh-CN" w:bidi="ar-SA"/>
        </w:rPr>
        <w:t>，</w:t>
      </w:r>
      <w:r>
        <w:rPr>
          <w:rFonts w:ascii="Times New Roman" w:hAnsi="Times New Roman" w:eastAsia="仿宋_GB2312"/>
          <w:sz w:val="32"/>
          <w:szCs w:val="32"/>
        </w:rPr>
        <w:t>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w:t>
      </w:r>
      <w:r>
        <w:rPr>
          <w:rFonts w:hint="default" w:ascii="仿宋_GB2312" w:hAnsi="仿宋_GB2312" w:eastAsia="仿宋_GB2312" w:cs="Times New Roman"/>
          <w:color w:val="auto"/>
          <w:w w:val="98"/>
          <w:kern w:val="2"/>
          <w:sz w:val="32"/>
          <w:szCs w:val="20"/>
          <w:lang w:val="en-US" w:eastAsia="zh-CN" w:bidi="ar-SA"/>
        </w:rPr>
        <w:t>。《食品安全国家标准 食品添加剂使用标准》（GB 2760—2014）中规定，熟肉制品中山梨酸及其钾盐的最大使用量为0.075g/kg。造成山梨酸及其钾盐（以山梨酸计）不合格的原因，可能是企业为延长产品保质期或者为弥补产品生产中卫生条件不佳而超限量使用。长期食用山梨酸及其钾盐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（二）防腐剂混合使用时各自用量占其最大使用量的比例之和</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防腐剂是指天然或合成的化学成分，用于加入食品以抑制微生物生长或化学变化引起的腐败。常见的防腐剂有苯甲酸及其钠盐、山梨酸及其钠盐等。《食品安全国家标准 食品添加剂使用标准》（GB 2760—2014）中规定，防腐剂</w:t>
      </w:r>
      <w:r>
        <w:rPr>
          <w:rFonts w:hint="eastAsia" w:ascii="仿宋_GB2312" w:hAnsi="仿宋_GB2312" w:eastAsia="仿宋_GB2312" w:cs="Times New Roman"/>
          <w:color w:val="auto"/>
          <w:w w:val="98"/>
          <w:kern w:val="2"/>
          <w:sz w:val="32"/>
          <w:szCs w:val="20"/>
          <w:lang w:val="en-US" w:eastAsia="zh-CN" w:bidi="ar-SA"/>
        </w:rPr>
        <w:t>在</w:t>
      </w:r>
      <w:r>
        <w:rPr>
          <w:rFonts w:hint="default" w:ascii="仿宋_GB2312" w:hAnsi="仿宋_GB2312" w:eastAsia="仿宋_GB2312" w:cs="Times New Roman"/>
          <w:color w:val="auto"/>
          <w:w w:val="98"/>
          <w:kern w:val="2"/>
          <w:sz w:val="32"/>
          <w:szCs w:val="20"/>
          <w:lang w:val="en-US" w:eastAsia="zh-CN" w:bidi="ar-SA"/>
        </w:rPr>
        <w:t>混合使用时各自用量占其最大使用量的比例之和不应超过1。防腐剂混合使用时各自用量占其最大使用量的比例之和检测值超标的原因，可能是生产企业在生产加工过程中未严格控制各防腐剂的用量造成的</w:t>
      </w:r>
      <w:r>
        <w:rPr>
          <w:rFonts w:hint="eastAsia" w:ascii="仿宋_GB2312" w:hAnsi="仿宋_GB2312" w:eastAsia="仿宋_GB2312" w:cs="Times New Roman"/>
          <w:color w:val="auto"/>
          <w:w w:val="98"/>
          <w:kern w:val="2"/>
          <w:sz w:val="32"/>
          <w:szCs w:val="20"/>
          <w:lang w:val="en-US" w:eastAsia="zh-CN" w:bidi="ar-SA"/>
        </w:rPr>
        <w:t>。</w:t>
      </w:r>
      <w:r>
        <w:rPr>
          <w:rFonts w:hint="default" w:ascii="仿宋_GB2312" w:hAnsi="仿宋_GB2312" w:eastAsia="仿宋_GB2312" w:cs="Times New Roman"/>
          <w:color w:val="auto"/>
          <w:w w:val="98"/>
          <w:kern w:val="2"/>
          <w:sz w:val="32"/>
          <w:szCs w:val="20"/>
          <w:lang w:val="en-US" w:eastAsia="zh-CN" w:bidi="ar-SA"/>
        </w:rPr>
        <w:t>长期</w:t>
      </w:r>
      <w:r>
        <w:rPr>
          <w:rFonts w:hint="eastAsia" w:ascii="仿宋_GB2312" w:hAnsi="仿宋_GB2312" w:eastAsia="仿宋_GB2312" w:cs="Times New Roman"/>
          <w:color w:val="auto"/>
          <w:w w:val="98"/>
          <w:kern w:val="2"/>
          <w:sz w:val="32"/>
          <w:szCs w:val="20"/>
          <w:lang w:val="en-US" w:eastAsia="zh-CN" w:bidi="ar-SA"/>
        </w:rPr>
        <w:t>食用防腐剂混合</w:t>
      </w:r>
      <w:r>
        <w:rPr>
          <w:rFonts w:hint="default" w:ascii="仿宋_GB2312" w:hAnsi="仿宋_GB2312" w:eastAsia="仿宋_GB2312" w:cs="Times New Roman"/>
          <w:color w:val="auto"/>
          <w:w w:val="98"/>
          <w:kern w:val="2"/>
          <w:sz w:val="32"/>
          <w:szCs w:val="20"/>
          <w:lang w:val="en-US" w:eastAsia="zh-CN" w:bidi="ar-SA"/>
        </w:rPr>
        <w:t>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（三）菌落总数</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40" w:lineRule="exact"/>
        <w:ind w:firstLine="626" w:firstLineChars="200"/>
        <w:jc w:val="left"/>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keepNext w:val="0"/>
        <w:keepLines w:val="0"/>
        <w:widowControl/>
        <w:suppressLineNumbers w:val="0"/>
        <w:wordWrap w:val="0"/>
        <w:ind w:firstLine="629"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（六）铅(以Pb计)</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铅是常见重金属污染物，是一种严重危害人体健康的重金属元素，人体中理想的含铅量为零。《食品安全国家标准 食品中污染物限量》（</w:t>
      </w:r>
      <w:r>
        <w:rPr>
          <w:rFonts w:hint="default" w:ascii="仿宋_GB2312" w:hAnsi="仿宋_GB2312" w:eastAsia="仿宋_GB2312" w:cs="Times New Roman"/>
          <w:color w:val="auto"/>
          <w:w w:val="98"/>
          <w:kern w:val="2"/>
          <w:sz w:val="32"/>
          <w:szCs w:val="20"/>
          <w:lang w:val="en-US" w:eastAsia="zh-CN" w:bidi="ar-SA"/>
        </w:rPr>
        <w:t>GB 2762-2017</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规定新鲜蔬菜（</w:t>
      </w:r>
      <w:r>
        <w:rPr>
          <w:rFonts w:hint="eastAsia" w:ascii="仿宋_GB2312" w:hAnsi="仿宋_GB2312" w:eastAsia="仿宋_GB2312" w:cs="Times New Roman"/>
          <w:color w:val="auto"/>
          <w:w w:val="98"/>
          <w:kern w:val="2"/>
          <w:sz w:val="32"/>
          <w:szCs w:val="20"/>
          <w:lang w:val="en-US" w:eastAsia="zh-CN" w:bidi="ar-SA"/>
        </w:rPr>
        <w:t>芸薹类蔬菜、叶菜蔬菜、豆类蔬菜、薯类除外</w:t>
      </w:r>
      <w:r>
        <w:rPr>
          <w:rFonts w:hint="default" w:ascii="仿宋_GB2312" w:hAnsi="仿宋_GB2312" w:eastAsia="仿宋_GB2312" w:cs="Times New Roman"/>
          <w:color w:val="auto"/>
          <w:w w:val="98"/>
          <w:kern w:val="2"/>
          <w:sz w:val="32"/>
          <w:szCs w:val="20"/>
          <w:lang w:val="en-US" w:eastAsia="zh-CN" w:bidi="ar-SA"/>
        </w:rPr>
        <w:t>）中铅限量值为≤0.1mg/kg</w:t>
      </w:r>
      <w:r>
        <w:rPr>
          <w:rFonts w:hint="eastAsia" w:ascii="仿宋_GB2312" w:hAnsi="仿宋_GB2312" w:eastAsia="仿宋_GB2312" w:cs="Times New Roman"/>
          <w:color w:val="auto"/>
          <w:w w:val="98"/>
          <w:kern w:val="2"/>
          <w:sz w:val="32"/>
          <w:szCs w:val="20"/>
          <w:lang w:val="en-US" w:eastAsia="zh-CN" w:bidi="ar-SA"/>
        </w:rPr>
        <w:t>。生姜</w:t>
      </w:r>
      <w:r>
        <w:rPr>
          <w:rFonts w:hint="default" w:ascii="仿宋_GB2312" w:hAnsi="仿宋_GB2312" w:eastAsia="仿宋_GB2312" w:cs="Times New Roman"/>
          <w:color w:val="auto"/>
          <w:w w:val="98"/>
          <w:kern w:val="2"/>
          <w:sz w:val="32"/>
          <w:szCs w:val="20"/>
          <w:lang w:val="en-US" w:eastAsia="zh-CN" w:bidi="ar-SA"/>
        </w:rPr>
        <w:t>中检出铅含量超标，主要是蔬菜种植</w:t>
      </w:r>
      <w:r>
        <w:rPr>
          <w:rFonts w:hint="eastAsia" w:ascii="仿宋_GB2312" w:hAnsi="仿宋_GB2312" w:eastAsia="仿宋_GB2312" w:cs="Times New Roman"/>
          <w:color w:val="auto"/>
          <w:w w:val="98"/>
          <w:kern w:val="2"/>
          <w:sz w:val="32"/>
          <w:szCs w:val="20"/>
          <w:lang w:val="en-US" w:eastAsia="zh-CN" w:bidi="ar-SA"/>
        </w:rPr>
        <w:t>、生产过程中通过土壤、空气、水等途径导致铅污染，也可能是过量使用含铅农药造成农作物的铅污染。</w:t>
      </w:r>
      <w:r>
        <w:rPr>
          <w:rFonts w:hint="default" w:ascii="仿宋_GB2312" w:hAnsi="仿宋_GB2312" w:eastAsia="仿宋_GB2312" w:cs="Times New Roman"/>
          <w:color w:val="auto"/>
          <w:w w:val="98"/>
          <w:kern w:val="2"/>
          <w:sz w:val="32"/>
          <w:szCs w:val="20"/>
          <w:lang w:val="en-US" w:eastAsia="zh-CN" w:bidi="ar-SA"/>
        </w:rPr>
        <w:t>长期食用</w:t>
      </w:r>
      <w:r>
        <w:rPr>
          <w:rFonts w:hint="eastAsia" w:ascii="仿宋_GB2312" w:hAnsi="仿宋_GB2312" w:eastAsia="仿宋_GB2312" w:cs="Times New Roman"/>
          <w:color w:val="auto"/>
          <w:w w:val="98"/>
          <w:kern w:val="2"/>
          <w:sz w:val="32"/>
          <w:szCs w:val="20"/>
          <w:lang w:val="en-US" w:eastAsia="zh-CN" w:bidi="ar-SA"/>
        </w:rPr>
        <w:t>铅</w:t>
      </w:r>
      <w:r>
        <w:rPr>
          <w:rFonts w:hint="default" w:ascii="仿宋_GB2312" w:hAnsi="仿宋_GB2312" w:eastAsia="仿宋_GB2312" w:cs="Times New Roman"/>
          <w:color w:val="auto"/>
          <w:w w:val="98"/>
          <w:kern w:val="2"/>
          <w:sz w:val="32"/>
          <w:szCs w:val="20"/>
          <w:lang w:val="en-US" w:eastAsia="zh-CN" w:bidi="ar-SA"/>
        </w:rPr>
        <w:t>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（七）磺胺类（总量）</w:t>
      </w:r>
      <w:bookmarkStart w:id="0" w:name="_GoBack"/>
      <w:bookmarkEnd w:id="0"/>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磺胺类药物是一类人工合成的抑菌药，其具有抗菌谱广、性质稳定、便于贮存、吸收迅速等优点，用于动物疫病治疗。长期大量食用磺胺类（总量）残留超标的食品，可能在人体内蓄积，不利健康，可引起过敏反应和耐药性菌株的产生。《食品安全国家标准 食品中兽药最大残留限量》（GB 31650—2019）中规定，磺胺类（总量）在鱼的皮和肉中最大残留限量值为100μg/kg。淡水鱼中磺胺类（总量）残留量超标的原因，可能是在养殖过程中为快速控制疫病，违规加大用药量或不遵守休药期规定，致使上市销售产品中的药物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92D4DF7"/>
    <w:rsid w:val="09B50C68"/>
    <w:rsid w:val="09CF0DAD"/>
    <w:rsid w:val="09D04097"/>
    <w:rsid w:val="09FC30DE"/>
    <w:rsid w:val="0A252635"/>
    <w:rsid w:val="0A2543E3"/>
    <w:rsid w:val="0A9D041D"/>
    <w:rsid w:val="0ADE1C87"/>
    <w:rsid w:val="0AE52434"/>
    <w:rsid w:val="0AEB62EA"/>
    <w:rsid w:val="0AF41B2D"/>
    <w:rsid w:val="0B75579F"/>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CF1390"/>
    <w:rsid w:val="12E0534B"/>
    <w:rsid w:val="13760E51"/>
    <w:rsid w:val="1399374C"/>
    <w:rsid w:val="13A22600"/>
    <w:rsid w:val="13EE60D1"/>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DB3599"/>
    <w:rsid w:val="250C6474"/>
    <w:rsid w:val="250F1AC0"/>
    <w:rsid w:val="251F7F55"/>
    <w:rsid w:val="253B638E"/>
    <w:rsid w:val="2593196A"/>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FC7029"/>
    <w:rsid w:val="2D0A773C"/>
    <w:rsid w:val="2D256324"/>
    <w:rsid w:val="2D5C0389"/>
    <w:rsid w:val="2D7D5637"/>
    <w:rsid w:val="2DB96A6D"/>
    <w:rsid w:val="2EE432E0"/>
    <w:rsid w:val="2F5051AF"/>
    <w:rsid w:val="2F546A4D"/>
    <w:rsid w:val="2FAD0853"/>
    <w:rsid w:val="2FD7142C"/>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474095"/>
    <w:rsid w:val="3D507ADA"/>
    <w:rsid w:val="3D7604D6"/>
    <w:rsid w:val="3DA711B3"/>
    <w:rsid w:val="3DB427FD"/>
    <w:rsid w:val="3E03620E"/>
    <w:rsid w:val="3E2D5039"/>
    <w:rsid w:val="3E894239"/>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4667B6"/>
    <w:rsid w:val="456D788A"/>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74D2BF4"/>
    <w:rsid w:val="57A27CE8"/>
    <w:rsid w:val="58386E8E"/>
    <w:rsid w:val="587716F7"/>
    <w:rsid w:val="58883419"/>
    <w:rsid w:val="589E4491"/>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B567E4"/>
    <w:rsid w:val="5FC66C44"/>
    <w:rsid w:val="60172FFB"/>
    <w:rsid w:val="610A59A6"/>
    <w:rsid w:val="611F03B9"/>
    <w:rsid w:val="61860438"/>
    <w:rsid w:val="61B80F7A"/>
    <w:rsid w:val="61D059BD"/>
    <w:rsid w:val="61E214E9"/>
    <w:rsid w:val="620F60CA"/>
    <w:rsid w:val="62586279"/>
    <w:rsid w:val="626D15F8"/>
    <w:rsid w:val="62854B94"/>
    <w:rsid w:val="62A50D92"/>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7A30D3"/>
    <w:rsid w:val="6F0244CC"/>
    <w:rsid w:val="6F215C44"/>
    <w:rsid w:val="6F435BBB"/>
    <w:rsid w:val="6F806E0F"/>
    <w:rsid w:val="6FF2313D"/>
    <w:rsid w:val="70877D29"/>
    <w:rsid w:val="709661BE"/>
    <w:rsid w:val="70BD374B"/>
    <w:rsid w:val="71662034"/>
    <w:rsid w:val="717C2845"/>
    <w:rsid w:val="71CD3E62"/>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D94C4A"/>
    <w:rsid w:val="760861AC"/>
    <w:rsid w:val="761738FD"/>
    <w:rsid w:val="76C770D1"/>
    <w:rsid w:val="76EF5CAD"/>
    <w:rsid w:val="772960B5"/>
    <w:rsid w:val="77D25D2E"/>
    <w:rsid w:val="78402C6D"/>
    <w:rsid w:val="785A1CD5"/>
    <w:rsid w:val="7860158C"/>
    <w:rsid w:val="78964FAD"/>
    <w:rsid w:val="78E026CC"/>
    <w:rsid w:val="796933E0"/>
    <w:rsid w:val="79A25BD4"/>
    <w:rsid w:val="79E955B1"/>
    <w:rsid w:val="7A13262E"/>
    <w:rsid w:val="7A24440C"/>
    <w:rsid w:val="7AA00365"/>
    <w:rsid w:val="7ACB78B2"/>
    <w:rsid w:val="7B424F78"/>
    <w:rsid w:val="7B5A135B"/>
    <w:rsid w:val="7B7406C4"/>
    <w:rsid w:val="7B7A5656"/>
    <w:rsid w:val="7BC57958"/>
    <w:rsid w:val="7BD8192A"/>
    <w:rsid w:val="7C044924"/>
    <w:rsid w:val="7C1C34E2"/>
    <w:rsid w:val="7C51472B"/>
    <w:rsid w:val="7C6559F4"/>
    <w:rsid w:val="7CA852AF"/>
    <w:rsid w:val="7CAB4D9F"/>
    <w:rsid w:val="7CCC3693"/>
    <w:rsid w:val="7CD223CC"/>
    <w:rsid w:val="7CDB7267"/>
    <w:rsid w:val="7CFC4B9D"/>
    <w:rsid w:val="7D2C4132"/>
    <w:rsid w:val="7DA0242A"/>
    <w:rsid w:val="7DA168CE"/>
    <w:rsid w:val="7DF74740"/>
    <w:rsid w:val="7DFF53A3"/>
    <w:rsid w:val="7ECD54A1"/>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1540</Words>
  <Characters>1652</Characters>
  <Lines>0</Lines>
  <Paragraphs>0</Paragraphs>
  <TotalTime>0</TotalTime>
  <ScaleCrop>false</ScaleCrop>
  <LinksUpToDate>false</LinksUpToDate>
  <CharactersWithSpaces>1666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2022-06-28T04:15:00Z</cp:lastPrinted>
  <dcterms:modified xsi:type="dcterms:W3CDTF">2022-10-26T09:34:30Z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B8AE24B3B2BB4020ADADE6C5FC640CCC</vt:lpwstr>
  </property>
</Properties>
</file>