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附件4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282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河源市2023年市级知识产权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</w:t>
      </w: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促进类项目储备入库申报书</w:t>
      </w:r>
      <w:bookmarkStart w:id="0" w:name="_GoBack"/>
      <w:bookmarkEnd w:id="0"/>
    </w:p>
    <w:p>
      <w:pPr>
        <w:rPr>
          <w:rFonts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申请书规格为A4纸，各栏不够填写时，请自行加页。申请书宜双面打印，并于左侧装订成册，一式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都为</w:t>
      </w:r>
      <w:r>
        <w:rPr>
          <w:rFonts w:hint="eastAsia" w:ascii="仿宋" w:hAnsi="仿宋" w:eastAsia="仿宋" w:cs="仿宋"/>
          <w:sz w:val="32"/>
          <w:szCs w:val="32"/>
        </w:rPr>
        <w:t>加盖公章的原件）。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ind w:left="-106" w:leftChars="-34" w:firstLine="114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5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5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5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5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区市场监督管理局审核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53800AEE"/>
    <w:rsid w:val="009A209B"/>
    <w:rsid w:val="06A83B7E"/>
    <w:rsid w:val="11FA2ACA"/>
    <w:rsid w:val="15AA7F2E"/>
    <w:rsid w:val="18CA74CC"/>
    <w:rsid w:val="1D265D31"/>
    <w:rsid w:val="2B736513"/>
    <w:rsid w:val="33AA7744"/>
    <w:rsid w:val="3E8A7657"/>
    <w:rsid w:val="451A4D22"/>
    <w:rsid w:val="49DE32E8"/>
    <w:rsid w:val="4B8D6626"/>
    <w:rsid w:val="519F5A81"/>
    <w:rsid w:val="53800AEE"/>
    <w:rsid w:val="541B45E4"/>
    <w:rsid w:val="5B2729B9"/>
    <w:rsid w:val="6A3535BE"/>
    <w:rsid w:val="6E983E2E"/>
    <w:rsid w:val="7B2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7</Pages>
  <Words>1073</Words>
  <Characters>1099</Characters>
  <Lines>0</Lines>
  <Paragraphs>0</Paragraphs>
  <TotalTime>27</TotalTime>
  <ScaleCrop>false</ScaleCrop>
  <LinksUpToDate>false</LinksUpToDate>
  <CharactersWithSpaces>1781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2020-10-22T01:22:00Z</dcterms:created>
  <dc:creator>陈明</dc:creator>
  <cp:lastModifiedBy>赖景媚</cp:lastModifiedBy>
  <cp:lastPrinted>2021-12-14T08:12:00Z</cp:lastPrinted>
  <dcterms:modified xsi:type="dcterms:W3CDTF">2022-09-16T08:53:05Z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16940D49DBAA46A19ECF05B4C06E4DD5</vt:lpwstr>
  </property>
</Properties>
</file>