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0"/>
          <w:szCs w:val="30"/>
        </w:rPr>
      </w:pPr>
      <w:r>
        <w:rPr>
          <w:rFonts w:hint="eastAsia" w:ascii="宋体" w:hAnsi="宋体" w:eastAsia="宋体" w:cs="宋体"/>
          <w:sz w:val="30"/>
          <w:szCs w:val="30"/>
        </w:rPr>
        <w:t>附件1</w:t>
      </w:r>
    </w:p>
    <w:p>
      <w:pPr>
        <w:rPr>
          <w:rFonts w:hint="eastAsia" w:ascii="宋体" w:hAnsi="宋体" w:eastAsia="宋体" w:cs="宋体"/>
          <w:sz w:val="30"/>
          <w:szCs w:val="30"/>
        </w:rPr>
      </w:pPr>
      <w:r>
        <w:rPr>
          <w:rFonts w:hint="eastAsia" w:ascii="宋体" w:hAnsi="宋体" w:eastAsia="宋体" w:cs="宋体"/>
          <w:sz w:val="30"/>
          <w:szCs w:val="30"/>
        </w:rPr>
        <w:t xml:space="preserve">     </w:t>
      </w:r>
    </w:p>
    <w:p>
      <w:pPr>
        <w:jc w:val="center"/>
        <w:rPr>
          <w:rFonts w:hint="eastAsia" w:ascii="宋体" w:hAnsi="宋体" w:eastAsia="宋体" w:cs="宋体"/>
          <w:b/>
          <w:bCs/>
          <w:sz w:val="52"/>
          <w:szCs w:val="52"/>
        </w:rPr>
      </w:pPr>
      <w:r>
        <w:rPr>
          <w:rFonts w:hint="eastAsia" w:ascii="宋体" w:hAnsi="宋体" w:eastAsia="宋体" w:cs="宋体"/>
          <w:b/>
          <w:bCs/>
          <w:sz w:val="52"/>
          <w:szCs w:val="52"/>
        </w:rPr>
        <w:t>项目绩效自评报告</w:t>
      </w: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ind w:left="4480" w:hanging="4200" w:hangingChars="14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市级预算部门：（公章）</w:t>
      </w:r>
      <w:r>
        <w:rPr>
          <w:rFonts w:hint="eastAsia" w:ascii="仿宋_GB2312" w:hAnsi="仿宋_GB2312" w:eastAsia="仿宋_GB2312" w:cs="仿宋_GB2312"/>
          <w:sz w:val="30"/>
          <w:szCs w:val="30"/>
          <w:lang w:val="en-US" w:eastAsia="zh-CN"/>
        </w:rPr>
        <w:t>河源市灯塔盆地国家现代农业示范区管理委员会</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填报人姓名：</w:t>
      </w:r>
      <w:r>
        <w:rPr>
          <w:rFonts w:hint="eastAsia" w:ascii="仿宋_GB2312" w:hAnsi="仿宋_GB2312" w:eastAsia="仿宋_GB2312" w:cs="仿宋_GB2312"/>
          <w:sz w:val="30"/>
          <w:szCs w:val="30"/>
          <w:lang w:val="en-US" w:eastAsia="zh-CN"/>
        </w:rPr>
        <w:t>何佳</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lang w:val="en-US" w:eastAsia="zh-CN"/>
        </w:rPr>
        <w:t xml:space="preserve">  0762-2200918</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填报日期：</w:t>
      </w:r>
      <w:r>
        <w:rPr>
          <w:rFonts w:hint="eastAsia" w:ascii="仿宋_GB2312" w:hAnsi="仿宋_GB2312" w:eastAsia="仿宋_GB2312" w:cs="仿宋_GB2312"/>
          <w:sz w:val="30"/>
          <w:szCs w:val="30"/>
          <w:lang w:val="en-US" w:eastAsia="zh-CN"/>
        </w:rPr>
        <w:t xml:space="preserve">  2022年3月20日</w:t>
      </w:r>
    </w:p>
    <w:p>
      <w:pPr>
        <w:rPr>
          <w:rFonts w:hint="eastAsia" w:ascii="宋体" w:hAnsi="宋体" w:eastAsia="宋体" w:cs="宋体"/>
          <w:sz w:val="30"/>
          <w:szCs w:val="30"/>
        </w:rPr>
      </w:pPr>
    </w:p>
    <w:p>
      <w:pPr>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w:t>
      </w:r>
      <w:r>
        <w:rPr>
          <w:rFonts w:hint="eastAsia" w:ascii="方正小标宋简体" w:hAnsi="方正小标宋简体" w:eastAsia="方正小标宋简体" w:cs="方正小标宋简体"/>
          <w:kern w:val="0"/>
          <w:sz w:val="40"/>
          <w:szCs w:val="40"/>
          <w:lang w:val="en-US" w:eastAsia="zh-CN"/>
        </w:rPr>
        <w:t>2021年灯塔盆地示范区综合服务中心建设</w:t>
      </w:r>
      <w:r>
        <w:rPr>
          <w:rFonts w:hint="eastAsia" w:ascii="方正小标宋简体" w:hAnsi="方正小标宋简体" w:eastAsia="方正小标宋简体" w:cs="方正小标宋简体"/>
          <w:sz w:val="40"/>
          <w:szCs w:val="40"/>
        </w:rPr>
        <w:t>”项目绩效评价报告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河源市财政局关于开展202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年财政资金绩效自评的通知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河财绩〔202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有关</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河源市灯塔盆地示范区管委会</w:t>
      </w:r>
      <w:r>
        <w:rPr>
          <w:rFonts w:hint="eastAsia" w:ascii="仿宋_GB2312" w:hAnsi="仿宋_GB2312" w:eastAsia="仿宋_GB2312" w:cs="仿宋_GB2312"/>
          <w:sz w:val="32"/>
          <w:szCs w:val="32"/>
        </w:rPr>
        <w:t>按照科学规范、公正公开的原则，通过听取汇报、查看资料、现场考察等方式，对</w:t>
      </w:r>
      <w:r>
        <w:rPr>
          <w:rFonts w:hint="eastAsia" w:ascii="仿宋_GB2312" w:hAnsi="仿宋_GB2312" w:eastAsia="仿宋_GB2312" w:cs="仿宋_GB2312"/>
          <w:sz w:val="32"/>
          <w:szCs w:val="32"/>
          <w:lang w:val="en-US" w:eastAsia="zh-CN"/>
        </w:rPr>
        <w:t>灯塔盆地</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rPr>
        <w:t>2021年灯塔盆地示范区综合服务中心建设项目</w:t>
      </w:r>
      <w:r>
        <w:rPr>
          <w:rFonts w:hint="eastAsia" w:ascii="仿宋_GB2312" w:hAnsi="仿宋_GB2312" w:eastAsia="仿宋_GB2312" w:cs="仿宋_GB2312"/>
          <w:sz w:val="32"/>
          <w:szCs w:val="32"/>
        </w:rPr>
        <w:t>”项目的决策情况、资金使用和管理情况、组织实施情况、以及实施后的绩效情况进行评价，形成本评价报告。</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0" w:firstLineChars="200"/>
        <w:jc w:val="left"/>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rPr>
        <w:t>（一）项目单位基本情况</w:t>
      </w:r>
      <w:r>
        <w:rPr>
          <w:rFonts w:hint="eastAsia" w:ascii="楷体" w:hAnsi="楷体" w:eastAsia="楷体" w:cs="楷体"/>
          <w:kern w:val="0"/>
          <w:sz w:val="32"/>
          <w:szCs w:val="32"/>
          <w:lang w:val="en-US" w:eastAsia="zh-CN"/>
        </w:rPr>
        <w:t xml:space="preserve"> </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部门性质</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河源市灯塔盆地国家现代农业示范区管理委员会，为市政府派出的公益一类事业单位，不定级。</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2.</w:t>
      </w:r>
      <w:r>
        <w:rPr>
          <w:rFonts w:hint="eastAsia" w:ascii="仿宋" w:hAnsi="仿宋" w:eastAsia="仿宋" w:cs="仿宋"/>
          <w:b/>
          <w:sz w:val="32"/>
          <w:szCs w:val="32"/>
        </w:rPr>
        <w:t>机构设置</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市灯塔盆地管委会内设综合科、经营管理科、用地科、企业服务科、农技创新科、财务科6个科（室）；核定事业编制26名，临聘人员3名，设机构领导职数5名。</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30" w:firstLineChars="196"/>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主要职能</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贯彻执行国家、省和市有关建设现代农业示范区的方针政策。</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研究提出园区的管理体制和运行机制、发展方向，负责编制示范区改革与建设的中长期规划和年度计划并组织实施。</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研究提出加快推进示范区改革与建设的措施。</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组织项目开发和招商引资，负责示范区内农业项目管理和指导，对入区企业和项目在立项、规划评审、报建以及办理工商、税务、土地、环保、公安、消防、劳动用工等事务方面提供服务。</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组织协调市直有关部门、有关县区落实国家、省和市下达示范区的各项改革和建设工作任务。</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负责示范区公用基础设施项目的建设和管理，抓好工程质量监督。</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承办市委、市人民政府交办的其他事项。</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ab/>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0" w:firstLineChars="200"/>
        <w:jc w:val="left"/>
        <w:textAlignment w:val="auto"/>
        <w:rPr>
          <w:rFonts w:hint="eastAsia" w:ascii="楷体" w:hAnsi="楷体" w:eastAsia="楷体" w:cs="楷体"/>
          <w:kern w:val="0"/>
          <w:sz w:val="32"/>
          <w:szCs w:val="32"/>
        </w:rPr>
      </w:pPr>
      <w:r>
        <w:rPr>
          <w:rFonts w:hint="eastAsia" w:ascii="楷体" w:hAnsi="楷体" w:eastAsia="楷体" w:cs="楷体"/>
          <w:kern w:val="0"/>
          <w:sz w:val="32"/>
          <w:szCs w:val="32"/>
        </w:rPr>
        <w:t>（二）项目基本情况</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 w:hAnsi="仿宋" w:eastAsia="仿宋" w:cs="仿宋"/>
          <w:b/>
          <w:bCs/>
          <w:kern w:val="0"/>
          <w:sz w:val="32"/>
          <w:szCs w:val="32"/>
          <w:lang w:val="en-US" w:eastAsia="zh-CN"/>
        </w:rPr>
        <w:t>1.项目名称</w:t>
      </w:r>
      <w:r>
        <w:rPr>
          <w:rFonts w:hint="eastAsia" w:ascii="仿宋_GB2312" w:hAnsi="仿宋_GB2312" w:eastAsia="仿宋_GB2312" w:cs="仿宋_GB2312"/>
          <w:kern w:val="0"/>
          <w:sz w:val="32"/>
          <w:szCs w:val="32"/>
          <w:lang w:val="en-US" w:eastAsia="zh-CN"/>
        </w:rPr>
        <w:t>：2021年灯塔盆地示范区综合服务中心建设项目</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outlineLvl w:val="0"/>
        <w:rPr>
          <w:rFonts w:hint="eastAsia" w:ascii="仿宋_GB2312" w:hAnsi="仿宋_GB2312" w:eastAsia="仿宋_GB2312" w:cs="仿宋_GB2312"/>
          <w:kern w:val="0"/>
          <w:sz w:val="32"/>
          <w:szCs w:val="32"/>
          <w:lang w:val="en-US" w:eastAsia="zh-CN"/>
        </w:rPr>
      </w:pP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rPr>
        <w:t>.</w:t>
      </w:r>
      <w:r>
        <w:rPr>
          <w:rFonts w:hint="eastAsia" w:ascii="仿宋" w:hAnsi="仿宋" w:eastAsia="仿宋" w:cs="仿宋"/>
          <w:b/>
          <w:bCs/>
          <w:kern w:val="0"/>
          <w:sz w:val="32"/>
          <w:szCs w:val="32"/>
          <w:lang w:val="en-US" w:eastAsia="zh-CN"/>
        </w:rPr>
        <w:t>项目资金情况：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2021年灯塔盆地示范区综合服务中心建设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val="en-US" w:eastAsia="zh-CN"/>
        </w:rPr>
        <w:t>是根据河源市财政局《关于批复市直部门2021年预算通知》（河财预</w:t>
      </w:r>
      <w:r>
        <w:rPr>
          <w:rFonts w:hint="eastAsia" w:ascii="仿宋_GB2312" w:hAnsi="仿宋_GB2312" w:eastAsia="仿宋_GB2312" w:cs="仿宋_GB2312"/>
          <w:i w:val="0"/>
          <w:caps w:val="0"/>
          <w:color w:val="000000" w:themeColor="text1"/>
          <w:spacing w:val="0"/>
          <w:sz w:val="32"/>
          <w:szCs w:val="32"/>
          <w:shd w:val="clear" w:color="auto" w:fill="auto"/>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color="auto" w:fill="auto"/>
          <w:lang w:val="en-US" w:eastAsia="zh-CN"/>
          <w14:textFill>
            <w14:solidFill>
              <w14:schemeClr w14:val="tx1"/>
            </w14:solidFill>
          </w14:textFill>
        </w:rPr>
        <w:t>21</w:t>
      </w:r>
      <w:r>
        <w:rPr>
          <w:rFonts w:hint="eastAsia" w:ascii="仿宋_GB2312" w:hAnsi="仿宋_GB2312" w:eastAsia="仿宋_GB2312" w:cs="仿宋_GB2312"/>
          <w:i w:val="0"/>
          <w:caps w:val="0"/>
          <w:color w:val="000000" w:themeColor="text1"/>
          <w:spacing w:val="0"/>
          <w:sz w:val="32"/>
          <w:szCs w:val="32"/>
          <w:shd w:val="clear" w:color="auto" w:fill="auto"/>
          <w14:textFill>
            <w14:solidFill>
              <w14:schemeClr w14:val="tx1"/>
            </w14:solidFill>
          </w14:textFill>
        </w:rPr>
        <w:t>〕</w:t>
      </w:r>
      <w:r>
        <w:rPr>
          <w:rFonts w:hint="eastAsia" w:ascii="仿宋_GB2312" w:hAnsi="仿宋_GB2312" w:eastAsia="仿宋_GB2312" w:cs="仿宋_GB2312"/>
          <w:kern w:val="0"/>
          <w:sz w:val="32"/>
          <w:szCs w:val="32"/>
          <w:lang w:val="en-US" w:eastAsia="zh-CN"/>
        </w:rPr>
        <w:t>1号）文件下达的，</w:t>
      </w:r>
      <w:r>
        <w:rPr>
          <w:rFonts w:hint="eastAsia" w:ascii="仿宋_GB2312" w:hAnsi="仿宋_GB2312" w:eastAsia="仿宋_GB2312" w:cs="仿宋_GB2312"/>
          <w:sz w:val="32"/>
          <w:szCs w:val="32"/>
        </w:rPr>
        <w:t>该项目</w:t>
      </w:r>
      <w:r>
        <w:rPr>
          <w:rFonts w:hint="eastAsia" w:ascii="仿宋_GB2312" w:hAnsi="仿宋_GB2312" w:eastAsia="仿宋_GB2312" w:cs="仿宋_GB2312"/>
          <w:sz w:val="32"/>
          <w:szCs w:val="32"/>
          <w:lang w:val="en-US" w:eastAsia="zh-CN"/>
        </w:rPr>
        <w:t>实施期限为2021年一年</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val="en-US" w:eastAsia="zh-CN"/>
        </w:rPr>
        <w:t>保障灯塔盆地示范区综合服务中心运转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年该项目预算总额</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kern w:val="0"/>
          <w:sz w:val="32"/>
          <w:szCs w:val="32"/>
          <w:lang w:val="en-US" w:eastAsia="zh-CN"/>
        </w:rPr>
        <w:t>3.</w:t>
      </w:r>
      <w:r>
        <w:rPr>
          <w:rFonts w:hint="eastAsia" w:ascii="仿宋" w:hAnsi="仿宋" w:eastAsia="仿宋" w:cs="仿宋"/>
          <w:b/>
          <w:bCs/>
          <w:sz w:val="32"/>
          <w:szCs w:val="32"/>
          <w:lang w:val="en-US" w:eastAsia="zh-CN"/>
        </w:rPr>
        <w:t>主要用途：</w:t>
      </w:r>
      <w:r>
        <w:rPr>
          <w:rFonts w:hint="eastAsia" w:ascii="仿宋_GB2312" w:hAnsi="仿宋_GB2312" w:eastAsia="仿宋_GB2312" w:cs="仿宋_GB2312"/>
          <w:sz w:val="32"/>
          <w:szCs w:val="32"/>
        </w:rPr>
        <w:t>灯塔盆地涵盖河源市东源、和平、连平3个县20个镇，这里气候温和、雨量充足、土地肥沃、生态优良，历来是广东省粮食主产区，也是粤港澳大湾区绿色农产品的重要供应基地，具有发展现代生态农业的先天优势和巨大潜力。多年来，受限于体制、机制、资金、市场、技术等综合因素，灯塔盆地尽管有“国家级现代农业示范区”这一招牌，但在建立农业产业集群、形成区域化规模生产、辐射带动周边地区、引领农村脱贫致富等方面成效有限。近年来，广东大力支持灯塔盆地开发建设，明确提出“支持河源灯塔盆地创建国家农高区”。去年，灯塔盆地农高区管委会（筹）正式挂牌运作，与示范区实行“两块牌子，两套人马，一体运作”，灯塔盆地创建国家农高区的大幕由此拉开。河源市举全市之力推动灯塔盆地开发建设，集中智慧、集中力量，着力推动灯塔盆地开发建设全面提效破局、努力开启新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为保障灯塔盆地综合服务中心正常运转，申请了灯塔盆地示范区综合服务中心建设项目资金。</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_GB2312" w:hAnsi="仿宋_GB2312" w:eastAsia="仿宋_GB2312" w:cs="仿宋_GB2312"/>
          <w:sz w:val="32"/>
          <w:szCs w:val="32"/>
        </w:rPr>
      </w:pPr>
      <w:r>
        <w:rPr>
          <w:rFonts w:hint="eastAsia" w:ascii="仿宋" w:hAnsi="仿宋" w:eastAsia="仿宋" w:cs="仿宋"/>
          <w:b/>
          <w:bCs/>
          <w:sz w:val="32"/>
          <w:szCs w:val="32"/>
          <w:lang w:val="en-US" w:eastAsia="zh-CN"/>
        </w:rPr>
        <w:t>4.绩效</w:t>
      </w:r>
      <w:r>
        <w:rPr>
          <w:rFonts w:hint="eastAsia" w:ascii="仿宋" w:hAnsi="仿宋" w:eastAsia="仿宋" w:cs="仿宋"/>
          <w:b/>
          <w:bCs/>
          <w:sz w:val="32"/>
          <w:szCs w:val="32"/>
        </w:rPr>
        <w:t>目标</w:t>
      </w:r>
      <w:r>
        <w:rPr>
          <w:rFonts w:hint="eastAsia" w:ascii="仿宋" w:hAnsi="仿宋" w:eastAsia="仿宋" w:cs="仿宋"/>
          <w:b/>
          <w:bCs/>
          <w:sz w:val="32"/>
          <w:szCs w:val="32"/>
          <w:lang w:eastAsia="zh-CN"/>
        </w:rPr>
        <w:t>：</w:t>
      </w:r>
      <w:r>
        <w:rPr>
          <w:rFonts w:hint="eastAsia" w:ascii="仿宋_GB2312" w:hAnsi="仿宋_GB2312" w:eastAsia="仿宋_GB2312" w:cs="仿宋_GB2312"/>
          <w:sz w:val="32"/>
          <w:szCs w:val="32"/>
        </w:rPr>
        <w:t>灯塔盆地发展的使命重大、愿景宏伟。会议要求灯塔盆地：按照中等县城规模谋划核心区的发展，不断完善各种功能配套；进一步提高产业集聚能力，加快形成既有“月亮”又有“星星”的招商引资新局面；进一步强化科技支撑功能，吸引更多技术、产业、人才集聚；进一步提升产城、产镇、产村融合水平。步入“十四五”，河源市将集中精力、集聚力量，持续加快灯塔盆地开发建设，把灯塔盆地建设成为示范广东、领先全国、面向世界的现代农业示范区，引领河源未来农业农村高质量发展。</w:t>
      </w:r>
      <w:r>
        <w:rPr>
          <w:rFonts w:hint="eastAsia" w:ascii="仿宋_GB2312" w:hAnsi="仿宋_GB2312" w:eastAsia="仿宋_GB2312" w:cs="仿宋_GB2312"/>
          <w:sz w:val="32"/>
          <w:szCs w:val="32"/>
          <w:lang w:val="en-US" w:eastAsia="zh-CN"/>
        </w:rPr>
        <w:t>主要目标为确保灯塔盆地示范区综合服务中心正常运转。</w:t>
      </w:r>
      <w:r>
        <w:rPr>
          <w:rFonts w:hint="eastAsia" w:ascii="仿宋_GB2312" w:hAnsi="仿宋_GB2312" w:eastAsia="仿宋_GB2312" w:cs="仿宋_GB2312"/>
          <w:sz w:val="32"/>
          <w:szCs w:val="32"/>
        </w:rPr>
        <w:t>坚定把灯塔盆地作为生态河源的“主战场”“先行地”、乡村振兴的“主引擎”，把灯塔盆地打造成全省乡村振兴、“两山理论”转化示范区。</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 w:hAnsi="仿宋" w:eastAsia="仿宋" w:cs="仿宋"/>
          <w:b/>
          <w:bCs/>
          <w:kern w:val="0"/>
          <w:sz w:val="32"/>
          <w:szCs w:val="32"/>
          <w:lang w:val="en-US" w:eastAsia="zh-CN"/>
        </w:rPr>
        <w:t>5.</w:t>
      </w:r>
      <w:r>
        <w:rPr>
          <w:rFonts w:hint="eastAsia" w:ascii="仿宋" w:hAnsi="仿宋" w:eastAsia="仿宋" w:cs="仿宋"/>
          <w:b/>
          <w:bCs/>
          <w:kern w:val="0"/>
          <w:sz w:val="32"/>
          <w:szCs w:val="32"/>
        </w:rPr>
        <w:t>项目组织管理情况</w:t>
      </w:r>
      <w:r>
        <w:rPr>
          <w:rFonts w:hint="eastAsia" w:ascii="仿宋" w:hAnsi="仿宋" w:eastAsia="仿宋" w:cs="仿宋"/>
          <w:b/>
          <w:bCs/>
          <w:kern w:val="0"/>
          <w:sz w:val="32"/>
          <w:szCs w:val="32"/>
          <w:lang w:eastAsia="zh-CN"/>
        </w:rPr>
        <w:t>：</w:t>
      </w:r>
      <w:r>
        <w:rPr>
          <w:rFonts w:hint="eastAsia" w:ascii="仿宋_GB2312" w:hAnsi="仿宋_GB2312" w:eastAsia="仿宋_GB2312" w:cs="仿宋_GB2312"/>
          <w:kern w:val="0"/>
          <w:sz w:val="32"/>
          <w:szCs w:val="32"/>
          <w:lang w:val="en-US" w:eastAsia="zh-CN"/>
        </w:rPr>
        <w:t>河源市灯塔盆地国家现代农业示范区管理委员会依据《河源市灯塔盆地国家现代农业示范区管理委员会项目和资金管理办法》实施。</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_GB2312" w:hAnsi="仿宋_GB2312" w:eastAsia="仿宋_GB2312" w:cs="仿宋_GB2312"/>
          <w:sz w:val="32"/>
          <w:szCs w:val="32"/>
        </w:rPr>
      </w:pPr>
      <w:r>
        <w:rPr>
          <w:rFonts w:hint="eastAsia" w:ascii="仿宋" w:hAnsi="仿宋" w:eastAsia="仿宋" w:cs="仿宋"/>
          <w:b/>
          <w:bCs/>
          <w:kern w:val="0"/>
          <w:sz w:val="32"/>
          <w:szCs w:val="32"/>
          <w:lang w:val="en-US" w:eastAsia="zh-CN"/>
        </w:rPr>
        <w:t>6.</w:t>
      </w:r>
      <w:r>
        <w:rPr>
          <w:rFonts w:hint="eastAsia" w:ascii="仿宋" w:hAnsi="仿宋" w:eastAsia="仿宋" w:cs="仿宋"/>
          <w:b/>
          <w:bCs/>
          <w:kern w:val="0"/>
          <w:sz w:val="32"/>
          <w:szCs w:val="32"/>
        </w:rPr>
        <w:t>项目资金使用情况</w:t>
      </w:r>
      <w:r>
        <w:rPr>
          <w:rFonts w:hint="eastAsia" w:ascii="仿宋" w:hAnsi="仿宋" w:eastAsia="仿宋" w:cs="仿宋"/>
          <w:b/>
          <w:bCs/>
          <w:kern w:val="0"/>
          <w:sz w:val="32"/>
          <w:szCs w:val="32"/>
          <w:lang w:eastAsia="zh-CN"/>
        </w:rPr>
        <w:t>：</w:t>
      </w:r>
      <w:r>
        <w:rPr>
          <w:rFonts w:hint="eastAsia" w:ascii="仿宋_GB2312" w:hAnsi="仿宋_GB2312" w:eastAsia="仿宋_GB2312" w:cs="仿宋_GB2312"/>
          <w:kern w:val="0"/>
          <w:sz w:val="32"/>
          <w:szCs w:val="32"/>
          <w:lang w:val="en-US" w:eastAsia="zh-CN"/>
        </w:rPr>
        <w:t>2021年灯塔盆地示范区综合服务中心建设项目</w:t>
      </w:r>
      <w:r>
        <w:rPr>
          <w:rFonts w:hint="eastAsia" w:ascii="仿宋_GB2312" w:hAnsi="仿宋_GB2312" w:eastAsia="仿宋_GB2312" w:cs="仿宋_GB2312"/>
          <w:kern w:val="0"/>
          <w:sz w:val="32"/>
          <w:szCs w:val="32"/>
        </w:rPr>
        <w:t>支出预算安排</w:t>
      </w:r>
      <w:r>
        <w:rPr>
          <w:rFonts w:hint="eastAsia" w:ascii="仿宋_GB2312" w:hAnsi="仿宋_GB2312" w:eastAsia="仿宋_GB2312" w:cs="仿宋_GB2312"/>
          <w:kern w:val="0"/>
          <w:sz w:val="32"/>
          <w:szCs w:val="32"/>
          <w:lang w:val="en-US" w:eastAsia="zh-CN"/>
        </w:rPr>
        <w:t>300</w:t>
      </w:r>
      <w:r>
        <w:rPr>
          <w:rFonts w:hint="eastAsia" w:ascii="仿宋_GB2312" w:hAnsi="仿宋_GB2312" w:eastAsia="仿宋_GB2312" w:cs="仿宋_GB2312"/>
          <w:kern w:val="0"/>
          <w:sz w:val="32"/>
          <w:szCs w:val="32"/>
        </w:rPr>
        <w:t>万元，资金到位</w:t>
      </w:r>
      <w:r>
        <w:rPr>
          <w:rFonts w:hint="eastAsia" w:ascii="仿宋_GB2312" w:hAnsi="仿宋_GB2312" w:eastAsia="仿宋_GB2312" w:cs="仿宋_GB2312"/>
          <w:kern w:val="0"/>
          <w:sz w:val="32"/>
          <w:szCs w:val="32"/>
          <w:lang w:val="en-US" w:eastAsia="zh-CN"/>
        </w:rPr>
        <w:t>300</w:t>
      </w:r>
      <w:r>
        <w:rPr>
          <w:rFonts w:hint="eastAsia" w:ascii="仿宋_GB2312" w:hAnsi="仿宋_GB2312" w:eastAsia="仿宋_GB2312" w:cs="仿宋_GB2312"/>
          <w:kern w:val="0"/>
          <w:sz w:val="32"/>
          <w:szCs w:val="32"/>
        </w:rPr>
        <w:t>万元，实际使用</w:t>
      </w:r>
      <w:r>
        <w:rPr>
          <w:rFonts w:hint="eastAsia" w:ascii="仿宋_GB2312" w:hAnsi="仿宋_GB2312" w:eastAsia="仿宋_GB2312" w:cs="仿宋_GB2312"/>
          <w:kern w:val="0"/>
          <w:sz w:val="32"/>
          <w:szCs w:val="32"/>
          <w:lang w:val="en-US" w:eastAsia="zh-CN"/>
        </w:rPr>
        <w:t>300</w:t>
      </w:r>
      <w:bookmarkStart w:id="0" w:name="_GoBack"/>
      <w:bookmarkEnd w:id="0"/>
      <w:r>
        <w:rPr>
          <w:rFonts w:hint="eastAsia" w:ascii="仿宋_GB2312" w:hAnsi="仿宋_GB2312" w:eastAsia="仿宋_GB2312" w:cs="仿宋_GB2312"/>
          <w:kern w:val="0"/>
          <w:sz w:val="32"/>
          <w:szCs w:val="32"/>
        </w:rPr>
        <w:t>万元，项目资金到位率</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%，支出实现率</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%，资金使用合法合规。</w:t>
      </w:r>
    </w:p>
    <w:p>
      <w:pPr>
        <w:keepNext w:val="0"/>
        <w:keepLines w:val="0"/>
        <w:pageBreakBefore w:val="0"/>
        <w:numPr>
          <w:ilvl w:val="0"/>
          <w:numId w:val="0"/>
        </w:numPr>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二、自评情况</w:t>
      </w:r>
    </w:p>
    <w:p>
      <w:pPr>
        <w:keepNext w:val="0"/>
        <w:keepLines w:val="0"/>
        <w:pageBreakBefore w:val="0"/>
        <w:numPr>
          <w:ilvl w:val="0"/>
          <w:numId w:val="0"/>
        </w:numPr>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（一）自评分数</w:t>
      </w:r>
      <w:r>
        <w:rPr>
          <w:rFonts w:hint="eastAsia" w:ascii="楷体" w:hAnsi="楷体" w:eastAsia="楷体" w:cs="楷体"/>
          <w:sz w:val="32"/>
          <w:szCs w:val="32"/>
          <w:lang w:val="en-US" w:eastAsia="zh-CN"/>
        </w:rPr>
        <w:t>93分</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（二）专项资金使用绩效</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lang w:val="en-US" w:eastAsia="zh-CN"/>
        </w:rPr>
        <w:t>1</w:t>
      </w:r>
      <w:r>
        <w:rPr>
          <w:rFonts w:hint="eastAsia" w:ascii="宋体" w:hAnsi="宋体" w:eastAsia="仿宋_GB2312" w:cs="宋体"/>
          <w:b/>
          <w:sz w:val="32"/>
          <w:szCs w:val="32"/>
        </w:rPr>
        <w:t>.</w:t>
      </w:r>
      <w:r>
        <w:rPr>
          <w:rFonts w:hint="eastAsia" w:ascii="仿宋" w:hAnsi="仿宋" w:eastAsia="仿宋" w:cs="仿宋"/>
          <w:b/>
          <w:bCs/>
          <w:sz w:val="32"/>
          <w:szCs w:val="32"/>
          <w:lang w:val="en-US" w:eastAsia="zh-CN"/>
        </w:rPr>
        <w:t>经济效益：</w:t>
      </w:r>
      <w:r>
        <w:rPr>
          <w:rFonts w:hint="eastAsia" w:ascii="仿宋_GB2312" w:hAnsi="仿宋_GB2312" w:eastAsia="仿宋_GB2312" w:cs="仿宋_GB2312"/>
          <w:sz w:val="32"/>
          <w:szCs w:val="32"/>
          <w:lang w:val="en-US" w:eastAsia="zh-CN"/>
        </w:rPr>
        <w:t>灯塔盆地示范区管委会已进驻项目综合服务大楼办公，完善各项服务功能配套，与各大高校、研究院合作，成立专家工作站、农业相关研究站等配套项目，强化灯塔盆地国家现代农业示范区建设。</w:t>
      </w:r>
    </w:p>
    <w:p>
      <w:pPr>
        <w:keepNext w:val="0"/>
        <w:keepLines w:val="0"/>
        <w:pageBreakBefore w:val="0"/>
        <w:numPr>
          <w:ilvl w:val="0"/>
          <w:numId w:val="0"/>
        </w:numPr>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_GB2312" w:hAnsi="仿宋_GB2312" w:eastAsia="仿宋_GB2312" w:cs="仿宋_GB2312"/>
          <w:sz w:val="32"/>
          <w:szCs w:val="32"/>
        </w:rPr>
      </w:pPr>
      <w:r>
        <w:rPr>
          <w:rFonts w:hint="eastAsia" w:ascii="宋体" w:hAnsi="宋体" w:eastAsia="仿宋_GB2312" w:cs="宋体"/>
          <w:b/>
          <w:sz w:val="32"/>
          <w:szCs w:val="32"/>
          <w:lang w:val="en-US" w:eastAsia="zh-CN"/>
        </w:rPr>
        <w:t>2</w:t>
      </w:r>
      <w:r>
        <w:rPr>
          <w:rFonts w:hint="eastAsia" w:ascii="宋体" w:hAnsi="宋体" w:eastAsia="仿宋_GB2312" w:cs="宋体"/>
          <w:b/>
          <w:sz w:val="32"/>
          <w:szCs w:val="32"/>
        </w:rPr>
        <w:t>.</w:t>
      </w:r>
      <w:r>
        <w:rPr>
          <w:rFonts w:hint="eastAsia" w:ascii="仿宋" w:hAnsi="仿宋" w:eastAsia="仿宋" w:cs="仿宋"/>
          <w:b/>
          <w:bCs/>
          <w:sz w:val="32"/>
          <w:szCs w:val="32"/>
          <w:lang w:val="en-US" w:eastAsia="zh-CN"/>
        </w:rPr>
        <w:t>社会效益：</w:t>
      </w:r>
      <w:r>
        <w:rPr>
          <w:rFonts w:hint="eastAsia" w:ascii="仿宋_GB2312" w:hAnsi="仿宋_GB2312" w:eastAsia="仿宋_GB2312" w:cs="仿宋_GB2312"/>
          <w:sz w:val="32"/>
          <w:szCs w:val="32"/>
          <w:lang w:val="en-US" w:eastAsia="zh-CN"/>
        </w:rPr>
        <w:t>示范区核心区农业社会化综合服务体运营提供丰富绿色农产品，</w:t>
      </w:r>
      <w:r>
        <w:rPr>
          <w:rFonts w:hint="eastAsia" w:ascii="仿宋_GB2312" w:hAnsi="仿宋_GB2312" w:eastAsia="仿宋_GB2312" w:cs="仿宋_GB2312"/>
          <w:sz w:val="32"/>
          <w:szCs w:val="32"/>
        </w:rPr>
        <w:t>在灯塔盆地引领、带动下，河源现代农业产业园建设快速发展，现代农业产业体系不断健全，全面实现了“一县一园、一村一品、一镇一业”主次有序的产业发展格局</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sz w:val="32"/>
          <w:szCs w:val="32"/>
        </w:rPr>
        <w:t>.</w:t>
      </w:r>
      <w:r>
        <w:rPr>
          <w:rFonts w:hint="eastAsia" w:ascii="仿宋" w:hAnsi="仿宋" w:eastAsia="仿宋" w:cs="仿宋"/>
          <w:b/>
          <w:bCs/>
          <w:sz w:val="32"/>
          <w:szCs w:val="32"/>
          <w:lang w:val="en-US" w:eastAsia="zh-CN"/>
        </w:rPr>
        <w:t>生态效益：</w:t>
      </w:r>
      <w:r>
        <w:rPr>
          <w:rFonts w:hint="eastAsia" w:ascii="仿宋_GB2312" w:hAnsi="仿宋_GB2312" w:eastAsia="仿宋_GB2312" w:cs="仿宋_GB2312"/>
          <w:sz w:val="32"/>
          <w:szCs w:val="32"/>
          <w:lang w:val="en-US" w:eastAsia="zh-CN"/>
        </w:rPr>
        <w:t>积极探索开发建设运营管理新模式，以点带面，推动灯塔盆地和全市现代农业快速绿色生态健康发展。</w:t>
      </w:r>
      <w:r>
        <w:rPr>
          <w:rFonts w:hint="eastAsia" w:ascii="仿宋_GB2312" w:hAnsi="仿宋_GB2312" w:eastAsia="仿宋_GB2312" w:cs="仿宋_GB2312"/>
          <w:sz w:val="32"/>
          <w:szCs w:val="32"/>
        </w:rPr>
        <w:t>以灯塔盆地为主引擎的乡村振兴战略正在河源持续深入推进，一幅幅乡村振兴的美丽画卷在这片绿色沃野上徐徐展开，1.2万平方公里的生态河源正呈现出独有的魅力</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可持续发展：</w:t>
      </w:r>
      <w:r>
        <w:rPr>
          <w:rFonts w:hint="eastAsia" w:ascii="仿宋_GB2312" w:hAnsi="仿宋_GB2312" w:eastAsia="仿宋_GB2312" w:cs="仿宋_GB2312"/>
          <w:sz w:val="32"/>
          <w:szCs w:val="32"/>
          <w:lang w:val="en-US" w:eastAsia="zh-CN"/>
        </w:rPr>
        <w:t xml:space="preserve">增强灯塔盆地农业竞争力，促进农业的可持续发展。 </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黑体" w:hAnsi="黑体" w:eastAsia="黑体" w:cs="黑体"/>
          <w:color w:val="222222"/>
          <w:kern w:val="0"/>
          <w:sz w:val="32"/>
          <w:szCs w:val="32"/>
          <w:lang w:val="en-US" w:eastAsia="zh-CN"/>
        </w:rPr>
      </w:pPr>
      <w:r>
        <w:rPr>
          <w:rFonts w:hint="eastAsia" w:ascii="黑体" w:hAnsi="黑体" w:eastAsia="黑体" w:cs="黑体"/>
          <w:color w:val="222222"/>
          <w:kern w:val="0"/>
          <w:sz w:val="32"/>
          <w:szCs w:val="32"/>
          <w:lang w:val="en-US" w:eastAsia="zh-CN"/>
        </w:rPr>
        <w:t>三</w:t>
      </w:r>
      <w:r>
        <w:rPr>
          <w:rFonts w:hint="eastAsia" w:ascii="黑体" w:hAnsi="黑体" w:eastAsia="黑体" w:cs="黑体"/>
          <w:color w:val="222222"/>
          <w:kern w:val="0"/>
          <w:sz w:val="32"/>
          <w:szCs w:val="32"/>
        </w:rPr>
        <w:t>、</w:t>
      </w:r>
      <w:r>
        <w:rPr>
          <w:rFonts w:hint="eastAsia" w:ascii="黑体" w:hAnsi="黑体" w:eastAsia="黑体" w:cs="黑体"/>
          <w:color w:val="222222"/>
          <w:kern w:val="0"/>
          <w:sz w:val="32"/>
          <w:szCs w:val="32"/>
          <w:lang w:val="en-US" w:eastAsia="zh-CN"/>
        </w:rPr>
        <w:t>改进意见</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）进一步细化、量化绩效目标，增加社会绩效指标，目标设置过于简单，不够全面。建议进一步细化、量化绩效目标，并增加社会绩效指标。</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 xml:space="preserve">）进一步完善项目管理相关制度，规范管理流程。具体包括：项目申报、立项评审和合同书管理制度，预算申报制度，项目实施过程中的管理和监督制度，资金监管和资金兑付制度；项目实施后的评价制度等。 </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lang w:val="en-US" w:eastAsia="zh-CN"/>
        </w:rPr>
        <w:t>（三）</w:t>
      </w:r>
      <w:r>
        <w:rPr>
          <w:rFonts w:hint="eastAsia" w:ascii="仿宋_GB2312" w:hAnsi="仿宋_GB2312" w:eastAsia="仿宋_GB2312" w:cs="仿宋_GB2312"/>
          <w:color w:val="222222"/>
          <w:kern w:val="0"/>
          <w:sz w:val="32"/>
          <w:szCs w:val="32"/>
        </w:rPr>
        <w:t>加强财务管理，严格财务审核。在费用报账支付时，按照预算规定的费用项目和用途进行资金使用审核、列报支付、财务核算，杜绝超支现象的发生。</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D7C11"/>
    <w:rsid w:val="00ED10C5"/>
    <w:rsid w:val="0397456C"/>
    <w:rsid w:val="077E7B1B"/>
    <w:rsid w:val="07F625D1"/>
    <w:rsid w:val="0C627ED8"/>
    <w:rsid w:val="0F170DB0"/>
    <w:rsid w:val="129D785A"/>
    <w:rsid w:val="13081050"/>
    <w:rsid w:val="16CA208E"/>
    <w:rsid w:val="16CA7A24"/>
    <w:rsid w:val="1874235C"/>
    <w:rsid w:val="198B1B6F"/>
    <w:rsid w:val="1DDD6996"/>
    <w:rsid w:val="20427F05"/>
    <w:rsid w:val="22AF51C0"/>
    <w:rsid w:val="25227336"/>
    <w:rsid w:val="2764629D"/>
    <w:rsid w:val="2B9E453A"/>
    <w:rsid w:val="2BA76021"/>
    <w:rsid w:val="2D4E3D46"/>
    <w:rsid w:val="2E292CCF"/>
    <w:rsid w:val="2F2F5BAD"/>
    <w:rsid w:val="2F6755E7"/>
    <w:rsid w:val="316D7C11"/>
    <w:rsid w:val="332521D1"/>
    <w:rsid w:val="332E01BA"/>
    <w:rsid w:val="360C05D0"/>
    <w:rsid w:val="38FA3B8B"/>
    <w:rsid w:val="39CA214D"/>
    <w:rsid w:val="3C5A3870"/>
    <w:rsid w:val="3C6E6603"/>
    <w:rsid w:val="3CB249BC"/>
    <w:rsid w:val="3D2909B6"/>
    <w:rsid w:val="3DC13356"/>
    <w:rsid w:val="3FF307D6"/>
    <w:rsid w:val="403A7631"/>
    <w:rsid w:val="40A57BB2"/>
    <w:rsid w:val="41265377"/>
    <w:rsid w:val="4207779F"/>
    <w:rsid w:val="437D3040"/>
    <w:rsid w:val="44FD6873"/>
    <w:rsid w:val="465E447B"/>
    <w:rsid w:val="49D1749F"/>
    <w:rsid w:val="4A3370C1"/>
    <w:rsid w:val="4C4328F9"/>
    <w:rsid w:val="51B55CA1"/>
    <w:rsid w:val="53BF1707"/>
    <w:rsid w:val="545710BC"/>
    <w:rsid w:val="58F31B03"/>
    <w:rsid w:val="595F6F18"/>
    <w:rsid w:val="5ACE3B57"/>
    <w:rsid w:val="60E6199F"/>
    <w:rsid w:val="60FE4EF6"/>
    <w:rsid w:val="611661A2"/>
    <w:rsid w:val="633A085B"/>
    <w:rsid w:val="64F5346B"/>
    <w:rsid w:val="6550071A"/>
    <w:rsid w:val="65704AFF"/>
    <w:rsid w:val="66465E94"/>
    <w:rsid w:val="665E6402"/>
    <w:rsid w:val="6A6D3A4F"/>
    <w:rsid w:val="6D6A02D9"/>
    <w:rsid w:val="6DA45609"/>
    <w:rsid w:val="6F9D5BB0"/>
    <w:rsid w:val="6FE2449F"/>
    <w:rsid w:val="703E5D3B"/>
    <w:rsid w:val="72637855"/>
    <w:rsid w:val="748F7317"/>
    <w:rsid w:val="74A220D0"/>
    <w:rsid w:val="7BCD29F8"/>
    <w:rsid w:val="7E80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河源市财政局</Company>
  <Pages>1</Pages>
  <Words>0</Words>
  <Characters>0</Characters>
  <Lines>0</Lines>
  <Paragraphs>0</Paragraphs>
  <TotalTime>21</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2020-04-07T08:59:00Z</dcterms:created>
  <dc:creator>凌丹萍</dc:creator>
  <cp:lastModifiedBy>ゞ可佳ゞ</cp:lastModifiedBy>
  <dcterms:modified xsi:type="dcterms:W3CDTF">2022-03-22T09:09:48Z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E8308D1E94B942EF8A8965F18BB1FC79</vt:lpwstr>
  </property>
</Properties>
</file>