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《深河产业共建示范区发展规划（征求意见稿）》社会征求意见采纳情况表</w:t>
      </w:r>
      <w:bookmarkStart w:id="0" w:name="_GoBack"/>
      <w:bookmarkEnd w:id="0"/>
    </w:p>
    <w:tbl>
      <w:tblPr>
        <w:tblStyle w:val="11"/>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8032"/>
        <w:gridCol w:w="867"/>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2" w:type="pct"/>
            <w:shd w:val="clear" w:color="auto" w:fill="auto"/>
            <w:vAlign w:val="center"/>
          </w:tcPr>
          <w:p>
            <w:pPr>
              <w:spacing w:line="360" w:lineRule="auto"/>
              <w:jc w:val="center"/>
              <w:rPr>
                <w:rFonts w:ascii="仿宋" w:hAnsi="仿宋" w:eastAsia="仿宋"/>
                <w:b/>
                <w:bCs/>
                <w:sz w:val="24"/>
                <w:szCs w:val="24"/>
              </w:rPr>
            </w:pPr>
            <w:r>
              <w:rPr>
                <w:rFonts w:ascii="仿宋" w:hAnsi="仿宋" w:eastAsia="仿宋"/>
                <w:b/>
                <w:bCs/>
                <w:sz w:val="24"/>
                <w:szCs w:val="24"/>
              </w:rPr>
              <w:t>序号</w:t>
            </w:r>
          </w:p>
        </w:tc>
        <w:tc>
          <w:tcPr>
            <w:tcW w:w="2817" w:type="pct"/>
            <w:shd w:val="clear" w:color="auto" w:fill="auto"/>
            <w:vAlign w:val="center"/>
          </w:tcPr>
          <w:p>
            <w:pPr>
              <w:adjustRightInd w:val="0"/>
              <w:spacing w:line="360" w:lineRule="auto"/>
              <w:jc w:val="center"/>
              <w:rPr>
                <w:rFonts w:ascii="仿宋" w:hAnsi="仿宋" w:eastAsia="仿宋"/>
                <w:b/>
                <w:bCs/>
                <w:sz w:val="24"/>
                <w:szCs w:val="24"/>
              </w:rPr>
            </w:pPr>
            <w:r>
              <w:rPr>
                <w:rFonts w:ascii="仿宋" w:hAnsi="仿宋" w:eastAsia="仿宋"/>
                <w:b/>
                <w:bCs/>
                <w:sz w:val="24"/>
                <w:szCs w:val="24"/>
              </w:rPr>
              <w:t>反馈意见</w:t>
            </w:r>
          </w:p>
        </w:tc>
        <w:tc>
          <w:tcPr>
            <w:tcW w:w="304" w:type="pct"/>
            <w:shd w:val="clear" w:color="auto" w:fill="auto"/>
            <w:vAlign w:val="center"/>
          </w:tcPr>
          <w:p>
            <w:pPr>
              <w:adjustRightInd w:val="0"/>
              <w:snapToGrid w:val="0"/>
              <w:spacing w:line="250" w:lineRule="exact"/>
              <w:jc w:val="center"/>
              <w:rPr>
                <w:rFonts w:ascii="仿宋" w:hAnsi="仿宋" w:eastAsia="仿宋" w:cs="Times New Roman"/>
                <w:b/>
                <w:bCs/>
                <w:sz w:val="24"/>
                <w:szCs w:val="24"/>
              </w:rPr>
            </w:pPr>
            <w:r>
              <w:rPr>
                <w:rFonts w:ascii="仿宋" w:hAnsi="仿宋" w:eastAsia="仿宋" w:cs="Times New Roman"/>
                <w:b/>
                <w:bCs/>
                <w:sz w:val="24"/>
                <w:szCs w:val="24"/>
              </w:rPr>
              <w:t>采纳</w:t>
            </w:r>
          </w:p>
          <w:p>
            <w:pPr>
              <w:adjustRightInd w:val="0"/>
              <w:snapToGrid w:val="0"/>
              <w:spacing w:line="250" w:lineRule="exact"/>
              <w:jc w:val="center"/>
              <w:rPr>
                <w:rFonts w:ascii="仿宋" w:hAnsi="仿宋" w:eastAsia="仿宋" w:cs="Times New Roman"/>
                <w:b/>
                <w:bCs/>
                <w:sz w:val="24"/>
                <w:szCs w:val="24"/>
              </w:rPr>
            </w:pPr>
            <w:r>
              <w:rPr>
                <w:rFonts w:ascii="仿宋" w:hAnsi="仿宋" w:eastAsia="仿宋" w:cs="Times New Roman"/>
                <w:b/>
                <w:bCs/>
                <w:sz w:val="24"/>
                <w:szCs w:val="24"/>
              </w:rPr>
              <w:t>情况</w:t>
            </w:r>
          </w:p>
        </w:tc>
        <w:tc>
          <w:tcPr>
            <w:tcW w:w="1616" w:type="pct"/>
            <w:shd w:val="clear" w:color="auto" w:fill="auto"/>
            <w:vAlign w:val="center"/>
          </w:tcPr>
          <w:p>
            <w:pPr>
              <w:adjustRightInd w:val="0"/>
              <w:snapToGrid w:val="0"/>
              <w:spacing w:line="250" w:lineRule="exact"/>
              <w:jc w:val="center"/>
              <w:rPr>
                <w:rFonts w:ascii="仿宋" w:hAnsi="仿宋" w:eastAsia="仿宋" w:cs="Times New Roman"/>
                <w:b/>
                <w:bCs/>
                <w:sz w:val="24"/>
                <w:szCs w:val="24"/>
              </w:rPr>
            </w:pPr>
            <w:r>
              <w:rPr>
                <w:rFonts w:ascii="仿宋" w:hAnsi="仿宋" w:eastAsia="仿宋" w:cs="Times New Roman"/>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trPr>
        <w:tc>
          <w:tcPr>
            <w:tcW w:w="262" w:type="pct"/>
            <w:vAlign w:val="center"/>
          </w:tcPr>
          <w:p>
            <w:pPr>
              <w:spacing w:line="360" w:lineRule="auto"/>
              <w:jc w:val="center"/>
              <w:rPr>
                <w:rFonts w:ascii="仿宋" w:hAnsi="仿宋" w:eastAsia="仿宋" w:cs="仿宋_GB2312"/>
                <w:kern w:val="0"/>
                <w:sz w:val="24"/>
                <w:szCs w:val="24"/>
              </w:rPr>
            </w:pPr>
            <w:r>
              <w:rPr>
                <w:rFonts w:hint="eastAsia" w:ascii="仿宋" w:hAnsi="仿宋" w:eastAsia="仿宋" w:cs="仿宋_GB2312"/>
                <w:kern w:val="0"/>
                <w:sz w:val="24"/>
                <w:szCs w:val="24"/>
              </w:rPr>
              <w:t>1</w:t>
            </w:r>
          </w:p>
        </w:tc>
        <w:tc>
          <w:tcPr>
            <w:tcW w:w="2817" w:type="pct"/>
            <w:vAlign w:val="center"/>
          </w:tcPr>
          <w:p>
            <w:pPr>
              <w:adjustRightInd w:val="0"/>
              <w:spacing w:line="312" w:lineRule="auto"/>
              <w:ind w:firstLine="482" w:firstLineChars="200"/>
              <w:jc w:val="left"/>
              <w:rPr>
                <w:rFonts w:ascii="仿宋" w:hAnsi="仿宋" w:eastAsia="仿宋"/>
                <w:sz w:val="24"/>
                <w:szCs w:val="24"/>
              </w:rPr>
            </w:pPr>
            <w:r>
              <w:rPr>
                <w:rFonts w:hint="eastAsia" w:ascii="仿宋" w:hAnsi="仿宋" w:eastAsia="仿宋"/>
                <w:b/>
                <w:bCs/>
                <w:sz w:val="24"/>
                <w:szCs w:val="24"/>
              </w:rPr>
              <w:t>积极与深圳大型连锁茶饮品牌合作，研发具有河源特色的茶饮或精致餐食。</w:t>
            </w:r>
            <w:r>
              <w:rPr>
                <w:rFonts w:hint="eastAsia" w:ascii="仿宋" w:hAnsi="仿宋" w:eastAsia="仿宋"/>
                <w:sz w:val="24"/>
                <w:szCs w:val="24"/>
              </w:rPr>
              <w:t>河源地大物博，具有许多具有河源特色的蔬菜水果、养生食材，深圳作为一线城市，生活节奏较快，大众饮食聚餐摄入高盐高油脂食物较多，近年来蔬果茶等去脂解腻饮品迅速得到大众的喜欢。借鉴的例子：深圳喜茶品牌、奈雪的茶品牌以广东潮汕地区特产的黄皮和油柑为原料开发的饮品得到广泛的认可，特色饮品的推广同时有助于城市文化的宣传，助推文旅产业的发展，带动更多的人认识河源特色文化，而河源以优质的水环境和生态环境，也能让大众消费者放心，引起更多的关注。 如：猕猴桃、五指毛桃、鹰嘴桃等。</w:t>
            </w:r>
          </w:p>
        </w:tc>
        <w:tc>
          <w:tcPr>
            <w:tcW w:w="304" w:type="pct"/>
            <w:vAlign w:val="center"/>
          </w:tcPr>
          <w:p>
            <w:pPr>
              <w:autoSpaceDE w:val="0"/>
              <w:autoSpaceDN w:val="0"/>
              <w:adjustRightInd w:val="0"/>
              <w:snapToGrid w:val="0"/>
              <w:spacing w:line="312"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采纳</w:t>
            </w:r>
          </w:p>
        </w:tc>
        <w:tc>
          <w:tcPr>
            <w:tcW w:w="1616" w:type="pct"/>
            <w:vAlign w:val="center"/>
          </w:tcPr>
          <w:p>
            <w:pPr>
              <w:autoSpaceDE w:val="0"/>
              <w:autoSpaceDN w:val="0"/>
              <w:adjustRightInd w:val="0"/>
              <w:snapToGrid w:val="0"/>
              <w:spacing w:line="312" w:lineRule="auto"/>
              <w:ind w:firstLine="480" w:firstLineChars="20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262" w:type="pct"/>
            <w:vAlign w:val="center"/>
          </w:tcPr>
          <w:p>
            <w:pPr>
              <w:spacing w:line="360" w:lineRule="auto"/>
              <w:jc w:val="center"/>
              <w:rPr>
                <w:rFonts w:ascii="仿宋" w:hAnsi="仿宋" w:eastAsia="仿宋"/>
                <w:sz w:val="24"/>
                <w:szCs w:val="24"/>
              </w:rPr>
            </w:pPr>
            <w:r>
              <w:rPr>
                <w:rFonts w:hint="eastAsia" w:ascii="仿宋" w:hAnsi="仿宋" w:eastAsia="仿宋"/>
                <w:sz w:val="24"/>
                <w:szCs w:val="24"/>
              </w:rPr>
              <w:t>2</w:t>
            </w:r>
          </w:p>
        </w:tc>
        <w:tc>
          <w:tcPr>
            <w:tcW w:w="2817" w:type="pct"/>
            <w:vAlign w:val="center"/>
          </w:tcPr>
          <w:p>
            <w:pPr>
              <w:adjustRightInd w:val="0"/>
              <w:spacing w:line="312" w:lineRule="auto"/>
              <w:ind w:firstLine="482" w:firstLineChars="200"/>
              <w:jc w:val="left"/>
              <w:rPr>
                <w:rFonts w:ascii="仿宋" w:hAnsi="仿宋" w:eastAsia="仿宋"/>
                <w:sz w:val="24"/>
                <w:szCs w:val="24"/>
              </w:rPr>
            </w:pPr>
            <w:r>
              <w:rPr>
                <w:rFonts w:hint="eastAsia" w:ascii="仿宋" w:hAnsi="仿宋" w:eastAsia="仿宋"/>
                <w:b/>
                <w:bCs/>
                <w:sz w:val="24"/>
                <w:szCs w:val="24"/>
              </w:rPr>
              <w:t>以数据中心和5G通讯为基础，搭建新能源汽车自动驾驶技术研发平台。</w:t>
            </w:r>
            <w:r>
              <w:rPr>
                <w:rFonts w:hint="eastAsia" w:ascii="仿宋" w:hAnsi="仿宋" w:eastAsia="仿宋"/>
                <w:sz w:val="24"/>
                <w:szCs w:val="24"/>
              </w:rPr>
              <w:t>河源凭借良好的地理位置和环境，吸引了阿里巴巴、中国联通等大数据中心的落地，自然的散热、合适的地理位置，充足富裕的水资源和电力资源，参考例子：贵州大数据中心，可以为企业的大数据中心节省开销，配合企业选择合适的数据中心位置，利用河源的地理优势节省企业开销和能源消耗，也能为河源的上下游产业带来发展。自动驾驶技术的研发需要存储分析大量的路况数据，快速的通讯速度以及落地实测，深河产业共建示范区可以整合相关产业资源，吸引深圳企业投资合作，相关企业如：比亚迪、开沃、恒驰、宝能等。参考例子：乌兰察布小鹏汽车智算中心。</w:t>
            </w:r>
          </w:p>
        </w:tc>
        <w:tc>
          <w:tcPr>
            <w:tcW w:w="304" w:type="pct"/>
            <w:vAlign w:val="center"/>
          </w:tcPr>
          <w:p>
            <w:pPr>
              <w:adjustRightInd w:val="0"/>
              <w:spacing w:line="312"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未采纳</w:t>
            </w:r>
          </w:p>
        </w:tc>
        <w:tc>
          <w:tcPr>
            <w:tcW w:w="1616" w:type="pct"/>
            <w:vAlign w:val="center"/>
          </w:tcPr>
          <w:p>
            <w:pPr>
              <w:adjustRightInd w:val="0"/>
              <w:spacing w:line="312" w:lineRule="auto"/>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rPr>
              <w:t>相比于北京、上海、广州</w:t>
            </w:r>
            <w:r>
              <w:rPr>
                <w:rFonts w:hint="eastAsia" w:ascii="仿宋" w:hAnsi="仿宋" w:eastAsia="仿宋"/>
                <w:sz w:val="24"/>
                <w:szCs w:val="24"/>
                <w:lang w:val="en-US" w:eastAsia="zh-CN"/>
              </w:rPr>
              <w:t>等城市</w:t>
            </w:r>
            <w:r>
              <w:rPr>
                <w:rFonts w:hint="eastAsia" w:ascii="仿宋" w:hAnsi="仿宋" w:eastAsia="仿宋"/>
                <w:sz w:val="24"/>
                <w:szCs w:val="24"/>
              </w:rPr>
              <w:t>，深圳的</w:t>
            </w:r>
            <w:r>
              <w:rPr>
                <w:rFonts w:hint="eastAsia" w:ascii="仿宋" w:hAnsi="仿宋" w:eastAsia="仿宋"/>
                <w:sz w:val="24"/>
                <w:szCs w:val="24"/>
                <w:lang w:val="en-US" w:eastAsia="zh-CN"/>
              </w:rPr>
              <w:t>自动驾驶行业优势并不明显</w:t>
            </w:r>
            <w:r>
              <w:rPr>
                <w:rFonts w:hint="eastAsia" w:ascii="仿宋" w:hAnsi="仿宋" w:eastAsia="仿宋"/>
                <w:sz w:val="24"/>
                <w:szCs w:val="24"/>
                <w:lang w:eastAsia="zh-CN"/>
              </w:rPr>
              <w:t>。</w:t>
            </w:r>
            <w:r>
              <w:rPr>
                <w:rFonts w:hint="eastAsia" w:ascii="仿宋" w:hAnsi="仿宋" w:eastAsia="仿宋"/>
                <w:sz w:val="24"/>
                <w:szCs w:val="24"/>
                <w:lang w:val="en-US" w:eastAsia="zh-CN"/>
              </w:rPr>
              <w:t>2022年</w:t>
            </w:r>
            <w:r>
              <w:rPr>
                <w:rFonts w:hint="eastAsia" w:ascii="仿宋" w:hAnsi="仿宋" w:eastAsia="仿宋"/>
                <w:sz w:val="24"/>
                <w:szCs w:val="24"/>
              </w:rPr>
              <w:t>2月比亚迪已选择百度</w:t>
            </w:r>
            <w:r>
              <w:rPr>
                <w:rFonts w:hint="eastAsia" w:ascii="仿宋" w:hAnsi="仿宋" w:eastAsia="仿宋"/>
                <w:sz w:val="24"/>
                <w:szCs w:val="24"/>
                <w:lang w:val="en-US" w:eastAsia="zh-CN"/>
              </w:rPr>
              <w:t>作为</w:t>
            </w:r>
            <w:r>
              <w:rPr>
                <w:rFonts w:hint="eastAsia" w:ascii="仿宋" w:hAnsi="仿宋" w:eastAsia="仿宋"/>
                <w:sz w:val="24"/>
                <w:szCs w:val="24"/>
              </w:rPr>
              <w:t>其智能驾驶供应商，比亚迪</w:t>
            </w:r>
            <w:r>
              <w:rPr>
                <w:rFonts w:hint="eastAsia" w:ascii="仿宋" w:hAnsi="仿宋" w:eastAsia="仿宋"/>
                <w:sz w:val="24"/>
                <w:szCs w:val="24"/>
                <w:lang w:val="en-US" w:eastAsia="zh-CN"/>
              </w:rPr>
              <w:t>自身并不掌握智能驾驶技术</w:t>
            </w:r>
            <w:r>
              <w:rPr>
                <w:rFonts w:hint="eastAsia" w:ascii="仿宋" w:hAnsi="仿宋" w:eastAsia="仿宋"/>
                <w:sz w:val="24"/>
                <w:szCs w:val="24"/>
              </w:rPr>
              <w:t>。</w:t>
            </w:r>
            <w:r>
              <w:rPr>
                <w:rFonts w:hint="eastAsia" w:ascii="仿宋" w:hAnsi="仿宋" w:eastAsia="仿宋"/>
                <w:sz w:val="24"/>
                <w:szCs w:val="24"/>
                <w:lang w:val="en-US" w:eastAsia="zh-CN"/>
              </w:rPr>
              <w:t>公开资料显示，恒驰与宝能自身发展也面临较大风险。本规划基于深河两市的产业基础及优势，优先布局发展预期好、招商难度适中的产业。</w:t>
            </w:r>
            <w:r>
              <w:rPr>
                <w:rFonts w:hint="eastAsia" w:ascii="仿宋" w:hAnsi="仿宋" w:eastAsia="仿宋"/>
                <w:sz w:val="24"/>
                <w:szCs w:val="24"/>
              </w:rPr>
              <w:t>自动驾驶技术</w:t>
            </w:r>
            <w:r>
              <w:rPr>
                <w:rFonts w:hint="eastAsia" w:ascii="仿宋" w:hAnsi="仿宋" w:eastAsia="仿宋"/>
                <w:sz w:val="24"/>
                <w:szCs w:val="24"/>
                <w:lang w:val="en-US" w:eastAsia="zh-CN"/>
              </w:rPr>
              <w:t>布局可在本规划试点范围之外另行规划。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62" w:type="pct"/>
            <w:vAlign w:val="center"/>
          </w:tcPr>
          <w:p>
            <w:pPr>
              <w:spacing w:line="360" w:lineRule="auto"/>
              <w:jc w:val="center"/>
              <w:rPr>
                <w:rFonts w:ascii="仿宋" w:hAnsi="仿宋" w:eastAsia="仿宋"/>
                <w:sz w:val="24"/>
                <w:szCs w:val="24"/>
              </w:rPr>
            </w:pPr>
            <w:r>
              <w:rPr>
                <w:rFonts w:hint="eastAsia" w:ascii="仿宋" w:hAnsi="仿宋" w:eastAsia="仿宋"/>
                <w:sz w:val="24"/>
                <w:szCs w:val="24"/>
              </w:rPr>
              <w:t>3</w:t>
            </w:r>
          </w:p>
        </w:tc>
        <w:tc>
          <w:tcPr>
            <w:tcW w:w="2817" w:type="pct"/>
            <w:vAlign w:val="center"/>
          </w:tcPr>
          <w:p>
            <w:pPr>
              <w:adjustRightInd w:val="0"/>
              <w:spacing w:line="312" w:lineRule="auto"/>
              <w:ind w:firstLine="482" w:firstLineChars="200"/>
              <w:jc w:val="left"/>
              <w:rPr>
                <w:rFonts w:ascii="仿宋" w:hAnsi="仿宋" w:eastAsia="仿宋"/>
                <w:sz w:val="24"/>
                <w:szCs w:val="24"/>
              </w:rPr>
            </w:pPr>
            <w:r>
              <w:rPr>
                <w:rFonts w:hint="eastAsia" w:ascii="仿宋" w:hAnsi="仿宋" w:eastAsia="仿宋"/>
                <w:b/>
                <w:bCs/>
                <w:sz w:val="24"/>
                <w:szCs w:val="24"/>
              </w:rPr>
              <w:t>产业共建示范区具有缓解深圳因疫情防控导致的产业生产制造问题。</w:t>
            </w:r>
            <w:r>
              <w:rPr>
                <w:rFonts w:hint="eastAsia" w:ascii="仿宋" w:hAnsi="仿宋" w:eastAsia="仿宋"/>
                <w:sz w:val="24"/>
                <w:szCs w:val="24"/>
              </w:rPr>
              <w:t>目前全世界新冠疫情还未完全解决，猴痘这一新型传染病又在国外不断加剧，得益于国内高瞻远瞩的防控和经济政策，中国对外出口大大增加，深圳作为国际性大都市，改革开放特区，在疫情防控工作上压力巨大，反反复复的疫情对产业按期的生产制造带来很大的障碍，深河产业共建示范区可以考虑探索一条保障深圳企业生产加工的合作方式，在落实疫情防控工作的同时，不会影响企业生产加工进度，保障产业经济的发展。</w:t>
            </w:r>
          </w:p>
        </w:tc>
        <w:tc>
          <w:tcPr>
            <w:tcW w:w="304" w:type="pct"/>
            <w:vAlign w:val="center"/>
          </w:tcPr>
          <w:p>
            <w:pPr>
              <w:adjustRightInd w:val="0"/>
              <w:spacing w:line="312"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未采纳</w:t>
            </w:r>
          </w:p>
        </w:tc>
        <w:tc>
          <w:tcPr>
            <w:tcW w:w="1616" w:type="pct"/>
            <w:vAlign w:val="center"/>
          </w:tcPr>
          <w:p>
            <w:pPr>
              <w:adjustRightInd w:val="0"/>
              <w:spacing w:line="312" w:lineRule="auto"/>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lang w:val="en-US" w:eastAsia="zh-CN"/>
              </w:rPr>
              <w:t>当前疫情形势复杂多变，制造基地搬迁涉及产业链配套、厂房供给、搬迁成本及员工安置等方方面面的问题，目前暂未收到企业的此类诉求，在企业需要的情况下，</w:t>
            </w:r>
            <w:r>
              <w:rPr>
                <w:rFonts w:hint="eastAsia" w:ascii="仿宋" w:hAnsi="仿宋" w:eastAsia="仿宋"/>
                <w:sz w:val="24"/>
                <w:szCs w:val="24"/>
              </w:rPr>
              <w:t>深河产业共建示范区</w:t>
            </w:r>
            <w:r>
              <w:rPr>
                <w:rFonts w:hint="eastAsia" w:ascii="仿宋" w:hAnsi="仿宋" w:eastAsia="仿宋"/>
                <w:sz w:val="24"/>
                <w:szCs w:val="24"/>
                <w:lang w:val="en-US" w:eastAsia="zh-CN"/>
              </w:rPr>
              <w:t>可进一步</w:t>
            </w:r>
            <w:r>
              <w:rPr>
                <w:rFonts w:hint="eastAsia" w:ascii="仿宋" w:hAnsi="仿宋" w:eastAsia="仿宋"/>
                <w:sz w:val="24"/>
                <w:szCs w:val="24"/>
              </w:rPr>
              <w:t>探索</w:t>
            </w:r>
            <w:r>
              <w:rPr>
                <w:rFonts w:hint="eastAsia" w:ascii="仿宋" w:hAnsi="仿宋" w:eastAsia="仿宋"/>
                <w:sz w:val="24"/>
                <w:szCs w:val="24"/>
                <w:lang w:val="en-US" w:eastAsia="zh-CN"/>
              </w:rPr>
              <w:t>与之相关的</w:t>
            </w:r>
            <w:r>
              <w:rPr>
                <w:rFonts w:hint="eastAsia" w:ascii="仿宋" w:hAnsi="仿宋" w:eastAsia="仿宋"/>
                <w:sz w:val="24"/>
                <w:szCs w:val="24"/>
              </w:rPr>
              <w:t>合作方式</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pPr>
              <w:spacing w:line="360" w:lineRule="auto"/>
              <w:jc w:val="center"/>
              <w:rPr>
                <w:rFonts w:ascii="仿宋" w:hAnsi="仿宋" w:eastAsia="仿宋"/>
                <w:sz w:val="24"/>
                <w:szCs w:val="24"/>
              </w:rPr>
            </w:pPr>
            <w:r>
              <w:rPr>
                <w:rFonts w:hint="eastAsia" w:ascii="仿宋" w:hAnsi="仿宋" w:eastAsia="仿宋"/>
                <w:sz w:val="24"/>
                <w:szCs w:val="24"/>
              </w:rPr>
              <w:t>4</w:t>
            </w:r>
          </w:p>
        </w:tc>
        <w:tc>
          <w:tcPr>
            <w:tcW w:w="2817" w:type="pct"/>
            <w:vAlign w:val="center"/>
          </w:tcPr>
          <w:p>
            <w:pPr>
              <w:adjustRightInd w:val="0"/>
              <w:spacing w:line="312" w:lineRule="auto"/>
              <w:ind w:firstLine="480" w:firstLineChars="200"/>
              <w:jc w:val="left"/>
              <w:rPr>
                <w:rFonts w:ascii="仿宋" w:hAnsi="仿宋" w:eastAsia="仿宋" w:cs="仿宋"/>
                <w:sz w:val="24"/>
                <w:szCs w:val="24"/>
              </w:rPr>
            </w:pPr>
            <w:r>
              <w:rPr>
                <w:rFonts w:hint="eastAsia" w:ascii="仿宋" w:hAnsi="仿宋" w:eastAsia="仿宋" w:cs="仿宋"/>
                <w:sz w:val="24"/>
                <w:szCs w:val="24"/>
              </w:rPr>
              <w:t>深圳除了电子产业，服装制衣产业原来也是深圳强项，近十来年随着房租和用工成本攀升，很多服装企外迁内地各省，但深圳市服装品牌公司总部离不开深圳，可否考虑规划个服装产业园基地，做好配套面辅料经营和低价出租厂房。如担心环保问题，规范和管理或严控印染企业就行。建议去深圳服装品牌公司了解一下他们的意向，像以纯公司这样把基地建在河源。</w:t>
            </w:r>
          </w:p>
        </w:tc>
        <w:tc>
          <w:tcPr>
            <w:tcW w:w="304" w:type="pct"/>
            <w:vAlign w:val="center"/>
          </w:tcPr>
          <w:p>
            <w:pPr>
              <w:adjustRightInd w:val="0"/>
              <w:spacing w:line="312"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未采纳</w:t>
            </w:r>
          </w:p>
        </w:tc>
        <w:tc>
          <w:tcPr>
            <w:tcW w:w="1616" w:type="pct"/>
            <w:vAlign w:val="center"/>
          </w:tcPr>
          <w:p>
            <w:pPr>
              <w:adjustRightInd w:val="0"/>
              <w:spacing w:line="312" w:lineRule="auto"/>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lang w:val="en-US" w:eastAsia="zh-CN"/>
              </w:rPr>
              <w:t>本规划借鉴深圳发展经验，坚持创新引领的发展理念，产业选择上以战略性新兴产业为重点、以优势传统产业产业为补充，故服装制造业不作为本规划的重点，可在本试点以外另行规划。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62" w:type="pct"/>
            <w:vAlign w:val="center"/>
          </w:tcPr>
          <w:p>
            <w:pPr>
              <w:spacing w:line="360" w:lineRule="auto"/>
              <w:jc w:val="center"/>
              <w:rPr>
                <w:rFonts w:ascii="仿宋" w:hAnsi="仿宋" w:eastAsia="仿宋"/>
                <w:sz w:val="24"/>
                <w:szCs w:val="24"/>
              </w:rPr>
            </w:pPr>
            <w:r>
              <w:rPr>
                <w:rFonts w:hint="eastAsia" w:ascii="仿宋" w:hAnsi="仿宋" w:eastAsia="仿宋"/>
                <w:sz w:val="24"/>
                <w:szCs w:val="24"/>
              </w:rPr>
              <w:t>5</w:t>
            </w:r>
          </w:p>
        </w:tc>
        <w:tc>
          <w:tcPr>
            <w:tcW w:w="2817" w:type="pct"/>
            <w:vAlign w:val="center"/>
          </w:tcPr>
          <w:p>
            <w:pPr>
              <w:adjustRightInd w:val="0"/>
              <w:spacing w:line="312" w:lineRule="auto"/>
              <w:ind w:firstLine="480" w:firstLineChars="200"/>
              <w:jc w:val="left"/>
              <w:rPr>
                <w:rFonts w:ascii="仿宋" w:hAnsi="仿宋" w:eastAsia="仿宋"/>
                <w:sz w:val="24"/>
                <w:szCs w:val="24"/>
              </w:rPr>
            </w:pPr>
            <w:r>
              <w:rPr>
                <w:rFonts w:hint="eastAsia" w:ascii="仿宋" w:hAnsi="仿宋" w:eastAsia="仿宋"/>
                <w:sz w:val="24"/>
                <w:szCs w:val="24"/>
              </w:rPr>
              <w:t>建议“深河产业共建示范区”和深圳市通信同城化，在示范区采用深圳区号0755。</w:t>
            </w:r>
          </w:p>
        </w:tc>
        <w:tc>
          <w:tcPr>
            <w:tcW w:w="304" w:type="pct"/>
            <w:vAlign w:val="center"/>
          </w:tcPr>
          <w:p>
            <w:pPr>
              <w:adjustRightInd w:val="0"/>
              <w:spacing w:line="312" w:lineRule="auto"/>
              <w:jc w:val="center"/>
              <w:rPr>
                <w:rFonts w:hint="eastAsia" w:ascii="仿宋" w:hAnsi="仿宋" w:eastAsia="仿宋"/>
                <w:sz w:val="24"/>
                <w:szCs w:val="24"/>
                <w:lang w:eastAsia="zh-CN"/>
              </w:rPr>
            </w:pPr>
            <w:r>
              <w:rPr>
                <w:rFonts w:hint="eastAsia" w:ascii="仿宋" w:hAnsi="仿宋" w:eastAsia="仿宋"/>
                <w:sz w:val="24"/>
                <w:szCs w:val="24"/>
                <w:lang w:eastAsia="zh-CN"/>
              </w:rPr>
              <w:t>未采纳</w:t>
            </w:r>
          </w:p>
        </w:tc>
        <w:tc>
          <w:tcPr>
            <w:tcW w:w="1616" w:type="pct"/>
            <w:vAlign w:val="center"/>
          </w:tcPr>
          <w:p>
            <w:pPr>
              <w:adjustRightInd w:val="0"/>
              <w:spacing w:line="312" w:lineRule="auto"/>
              <w:ind w:firstLine="480" w:firstLineChars="200"/>
              <w:jc w:val="left"/>
              <w:rPr>
                <w:rFonts w:ascii="仿宋" w:hAnsi="仿宋" w:eastAsia="仿宋"/>
                <w:sz w:val="24"/>
                <w:szCs w:val="24"/>
              </w:rPr>
            </w:pPr>
            <w:r>
              <w:rPr>
                <w:rFonts w:hint="eastAsia" w:ascii="仿宋" w:hAnsi="仿宋" w:eastAsia="仿宋"/>
                <w:sz w:val="24"/>
                <w:szCs w:val="24"/>
                <w:lang w:eastAsia="zh-CN"/>
              </w:rPr>
              <w:t>本规划主要围绕产业共建工作开展，区号设置不属于规划内容</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262" w:type="pct"/>
            <w:vAlign w:val="center"/>
          </w:tcPr>
          <w:p>
            <w:pPr>
              <w:spacing w:line="360" w:lineRule="auto"/>
              <w:jc w:val="center"/>
              <w:rPr>
                <w:rFonts w:ascii="仿宋" w:hAnsi="仿宋" w:eastAsia="仿宋"/>
                <w:sz w:val="24"/>
                <w:szCs w:val="24"/>
              </w:rPr>
            </w:pPr>
            <w:r>
              <w:rPr>
                <w:rFonts w:hint="eastAsia" w:ascii="仿宋" w:hAnsi="仿宋" w:eastAsia="仿宋"/>
                <w:sz w:val="24"/>
                <w:szCs w:val="24"/>
              </w:rPr>
              <w:t>6</w:t>
            </w:r>
          </w:p>
        </w:tc>
        <w:tc>
          <w:tcPr>
            <w:tcW w:w="2817" w:type="pct"/>
            <w:vAlign w:val="center"/>
          </w:tcPr>
          <w:p>
            <w:pPr>
              <w:pStyle w:val="5"/>
              <w:adjustRightInd w:val="0"/>
              <w:spacing w:line="312" w:lineRule="auto"/>
              <w:ind w:right="174" w:firstLine="480" w:firstLineChars="200"/>
              <w:rPr>
                <w:rFonts w:ascii="仿宋" w:hAnsi="仿宋" w:eastAsia="仿宋"/>
                <w:sz w:val="24"/>
                <w:szCs w:val="24"/>
              </w:rPr>
            </w:pPr>
            <w:r>
              <w:rPr>
                <w:rFonts w:hint="eastAsia" w:ascii="仿宋" w:hAnsi="仿宋" w:eastAsia="仿宋"/>
                <w:sz w:val="24"/>
                <w:szCs w:val="24"/>
              </w:rPr>
              <w:t>灯塔盆地农高区范围划定应该为顺天镇+原黄沙镇，船塘镇黄沙片区既能给带来产业，也能让农高区位于灯塔盆地几何中心的位置。辐射范围更广，带动能力更强。本身黄沙以前是镇级单位，从新划出来，也容易编制管理。这样既不破坏灯塔镇等其他镇的行政管理范畴，因黄沙镇有船塘河流域，自然条件也比灯塔镇更好的。</w:t>
            </w:r>
          </w:p>
        </w:tc>
        <w:tc>
          <w:tcPr>
            <w:tcW w:w="304" w:type="pct"/>
            <w:vAlign w:val="center"/>
          </w:tcPr>
          <w:p>
            <w:pPr>
              <w:adjustRightInd w:val="0"/>
              <w:spacing w:line="312" w:lineRule="auto"/>
              <w:jc w:val="center"/>
              <w:rPr>
                <w:rFonts w:hint="eastAsia" w:ascii="仿宋" w:hAnsi="仿宋" w:eastAsia="仿宋"/>
                <w:sz w:val="24"/>
                <w:szCs w:val="24"/>
                <w:lang w:eastAsia="zh-CN"/>
              </w:rPr>
            </w:pPr>
            <w:r>
              <w:rPr>
                <w:rFonts w:hint="eastAsia" w:ascii="仿宋" w:hAnsi="仿宋" w:eastAsia="仿宋"/>
                <w:sz w:val="24"/>
                <w:szCs w:val="24"/>
                <w:lang w:eastAsia="zh-CN"/>
              </w:rPr>
              <w:t>未采纳</w:t>
            </w:r>
          </w:p>
        </w:tc>
        <w:tc>
          <w:tcPr>
            <w:tcW w:w="1616" w:type="pct"/>
            <w:vAlign w:val="center"/>
          </w:tcPr>
          <w:p>
            <w:pPr>
              <w:adjustRightInd w:val="0"/>
              <w:spacing w:line="312" w:lineRule="auto"/>
              <w:ind w:firstLine="480" w:firstLineChars="200"/>
              <w:jc w:val="left"/>
              <w:rPr>
                <w:rFonts w:ascii="仿宋" w:hAnsi="仿宋" w:eastAsia="仿宋"/>
                <w:sz w:val="24"/>
                <w:szCs w:val="24"/>
              </w:rPr>
            </w:pPr>
            <w:r>
              <w:rPr>
                <w:rFonts w:hint="eastAsia" w:ascii="仿宋" w:hAnsi="仿宋" w:eastAsia="仿宋"/>
                <w:sz w:val="24"/>
                <w:szCs w:val="24"/>
              </w:rPr>
              <w:t>灯塔盆地农高区试点范围由已编《河源国家农业高新技术产业示范区建设发展规划（2</w:t>
            </w:r>
            <w:r>
              <w:rPr>
                <w:rFonts w:ascii="仿宋" w:hAnsi="仿宋" w:eastAsia="仿宋"/>
                <w:sz w:val="24"/>
                <w:szCs w:val="24"/>
              </w:rPr>
              <w:t>022</w:t>
            </w:r>
            <w:r>
              <w:rPr>
                <w:rFonts w:hint="eastAsia" w:ascii="仿宋" w:hAnsi="仿宋" w:eastAsia="仿宋"/>
                <w:sz w:val="24"/>
                <w:szCs w:val="24"/>
              </w:rPr>
              <w:t>-</w:t>
            </w:r>
            <w:r>
              <w:rPr>
                <w:rFonts w:ascii="仿宋" w:hAnsi="仿宋" w:eastAsia="仿宋"/>
                <w:sz w:val="24"/>
                <w:szCs w:val="24"/>
              </w:rPr>
              <w:t>2026</w:t>
            </w:r>
            <w:r>
              <w:rPr>
                <w:rFonts w:hint="eastAsia" w:ascii="仿宋" w:hAnsi="仿宋" w:eastAsia="仿宋"/>
                <w:sz w:val="24"/>
                <w:szCs w:val="24"/>
              </w:rPr>
              <w:t>年）》确定。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7</w:t>
            </w:r>
          </w:p>
        </w:tc>
        <w:tc>
          <w:tcPr>
            <w:tcW w:w="2817" w:type="pct"/>
            <w:vAlign w:val="center"/>
          </w:tcPr>
          <w:p>
            <w:pPr>
              <w:pStyle w:val="5"/>
              <w:adjustRightInd w:val="0"/>
              <w:spacing w:line="312" w:lineRule="auto"/>
              <w:ind w:right="174" w:firstLine="480" w:firstLineChars="200"/>
              <w:rPr>
                <w:rFonts w:hint="eastAsia" w:ascii="仿宋" w:hAnsi="仿宋" w:eastAsia="仿宋"/>
                <w:sz w:val="24"/>
                <w:szCs w:val="24"/>
              </w:rPr>
            </w:pPr>
            <w:r>
              <w:rPr>
                <w:rFonts w:hint="eastAsia" w:ascii="仿宋" w:hAnsi="仿宋" w:eastAsia="仿宋"/>
                <w:sz w:val="24"/>
                <w:szCs w:val="24"/>
                <w:lang w:val="en-US" w:eastAsia="zh-CN"/>
              </w:rPr>
              <w:t>建议进一步科普应用建议互通路口换乘无须超车设计(众多部门反馈直接或间接相关,例如示范区(各部门综合协同)应用推广,开展即见效,当年呈现效果否? ) 支持(促进)深河产业共建示范区发展规划; 2.精准防控场景 再次建议优选前置确认安全有望更好兼顾兼得的常态化应急预案,至少一线防控成员都能齐配不怕接触风险的防护套装)无法(没能,缺乏信心保持安全距离),优化防控措施, 陌生跨辖区有风险的出行优选加强防护(戴口罩1.5%风险?+ 24小时内阴性报告潜伏期考量缺失? 等于有明显效果,但仍非优选方案) 再次建议提升防护标准:有条件的优选能避免接触风险的防护标准; 3.迎10.1国庆,二十大建言,建议限速超40公里以上繁忙路口(国家公路网.省道网,市政路)应用普及:二次绿灯或二层结构无须绕行的全互通,避免人车交织保安康;预约直达六站通达公交全域一图优选路口换乘为您和(关爱之人)全国人民拥有更健康安全稳定舒畅出行的生态环境,参与科普.转交(联合)辖区其它相关部门引导(推荐)单位成员协同制作实景科普视频力争经典? 如有考虑不周之处,恳请(贵市.贵省.继续)及时给予更多的意见建议。</w:t>
            </w:r>
          </w:p>
        </w:tc>
        <w:tc>
          <w:tcPr>
            <w:tcW w:w="304" w:type="pct"/>
            <w:vAlign w:val="center"/>
          </w:tcPr>
          <w:p>
            <w:pPr>
              <w:adjustRightInd w:val="0"/>
              <w:spacing w:line="312" w:lineRule="auto"/>
              <w:jc w:val="center"/>
              <w:rPr>
                <w:rFonts w:hint="eastAsia" w:ascii="仿宋" w:hAnsi="仿宋" w:eastAsia="仿宋"/>
                <w:sz w:val="24"/>
                <w:szCs w:val="24"/>
                <w:lang w:eastAsia="zh-CN"/>
              </w:rPr>
            </w:pPr>
            <w:r>
              <w:rPr>
                <w:rFonts w:hint="eastAsia" w:ascii="仿宋" w:hAnsi="仿宋" w:eastAsia="仿宋"/>
                <w:sz w:val="24"/>
                <w:szCs w:val="24"/>
                <w:lang w:eastAsia="zh-CN"/>
              </w:rPr>
              <w:t>未采纳</w:t>
            </w:r>
          </w:p>
        </w:tc>
        <w:tc>
          <w:tcPr>
            <w:tcW w:w="1616" w:type="pct"/>
            <w:vAlign w:val="center"/>
          </w:tcPr>
          <w:p>
            <w:pPr>
              <w:adjustRightInd w:val="0"/>
              <w:spacing w:line="312" w:lineRule="auto"/>
              <w:ind w:firstLine="480" w:firstLineChars="200"/>
              <w:jc w:val="left"/>
              <w:rPr>
                <w:rFonts w:hint="eastAsia" w:ascii="仿宋" w:hAnsi="仿宋" w:eastAsia="仿宋"/>
                <w:sz w:val="24"/>
                <w:szCs w:val="24"/>
                <w:lang w:eastAsia="zh-CN"/>
              </w:rPr>
            </w:pPr>
            <w:r>
              <w:rPr>
                <w:rFonts w:hint="eastAsia" w:ascii="仿宋" w:hAnsi="仿宋" w:eastAsia="仿宋"/>
                <w:sz w:val="24"/>
                <w:szCs w:val="24"/>
                <w:lang w:eastAsia="zh-CN"/>
              </w:rPr>
              <w:t>本规划主要围绕产业共建工作开展，与</w:t>
            </w:r>
            <w:r>
              <w:rPr>
                <w:rFonts w:hint="eastAsia" w:ascii="仿宋" w:hAnsi="仿宋" w:eastAsia="仿宋"/>
                <w:sz w:val="24"/>
                <w:szCs w:val="24"/>
                <w:lang w:val="en-US" w:eastAsia="zh-CN"/>
              </w:rPr>
              <w:t>互通路口换乘无须超车设计工作无直接关联。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8</w:t>
            </w:r>
          </w:p>
        </w:tc>
        <w:tc>
          <w:tcPr>
            <w:tcW w:w="2817" w:type="pct"/>
            <w:vAlign w:val="center"/>
          </w:tcPr>
          <w:p>
            <w:pPr>
              <w:pStyle w:val="5"/>
              <w:adjustRightInd w:val="0"/>
              <w:spacing w:line="312" w:lineRule="auto"/>
              <w:ind w:right="174"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我强烈建议深河合作区的建设，河源的发展潜力巨大</w:t>
            </w:r>
          </w:p>
        </w:tc>
        <w:tc>
          <w:tcPr>
            <w:tcW w:w="304" w:type="pct"/>
            <w:vAlign w:val="center"/>
          </w:tcPr>
          <w:p>
            <w:pPr>
              <w:adjustRightInd w:val="0"/>
              <w:spacing w:line="312" w:lineRule="auto"/>
              <w:jc w:val="center"/>
              <w:rPr>
                <w:rFonts w:hint="eastAsia" w:ascii="仿宋" w:hAnsi="仿宋" w:eastAsia="仿宋"/>
                <w:sz w:val="24"/>
                <w:szCs w:val="24"/>
                <w:lang w:eastAsia="zh-CN"/>
              </w:rPr>
            </w:pPr>
            <w:r>
              <w:rPr>
                <w:rFonts w:hint="eastAsia" w:ascii="仿宋" w:hAnsi="仿宋" w:eastAsia="仿宋"/>
                <w:sz w:val="24"/>
                <w:szCs w:val="24"/>
                <w:lang w:eastAsia="zh-CN"/>
              </w:rPr>
              <w:t>采纳</w:t>
            </w:r>
          </w:p>
        </w:tc>
        <w:tc>
          <w:tcPr>
            <w:tcW w:w="1616" w:type="pct"/>
            <w:vAlign w:val="center"/>
          </w:tcPr>
          <w:p>
            <w:pPr>
              <w:adjustRightInd w:val="0"/>
              <w:spacing w:line="312" w:lineRule="auto"/>
              <w:ind w:firstLine="480" w:firstLineChars="200"/>
              <w:jc w:val="left"/>
              <w:rPr>
                <w:rFonts w:hint="eastAsia" w:ascii="仿宋" w:hAnsi="仿宋" w:eastAsia="仿宋"/>
                <w:sz w:val="24"/>
                <w:szCs w:val="24"/>
                <w:lang w:eastAsia="zh-CN"/>
              </w:rPr>
            </w:pPr>
            <w:r>
              <w:rPr>
                <w:rFonts w:hint="eastAsia" w:ascii="仿宋" w:hAnsi="仿宋" w:eastAsia="仿宋"/>
                <w:sz w:val="24"/>
                <w:szCs w:val="24"/>
                <w:lang w:eastAsia="zh-CN"/>
              </w:rPr>
              <w:t>根据上级文件，深河合作区规范表述为深河产业共建示范区。</w:t>
            </w:r>
          </w:p>
        </w:tc>
      </w:tr>
    </w:tbl>
    <w:p>
      <w:pPr>
        <w:spacing w:line="360" w:lineRule="auto"/>
        <w:rPr>
          <w:sz w:val="24"/>
          <w:szCs w:val="24"/>
        </w:rPr>
      </w:pPr>
    </w:p>
    <w:sectPr>
      <w:footerReference r:id="rId3" w:type="default"/>
      <w:pgSz w:w="16838" w:h="11906" w:orient="landscape"/>
      <w:pgMar w:top="1293" w:right="1383" w:bottom="1293" w:left="13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繁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96105"/>
    </w:sdtPr>
    <w:sdtContent>
      <w:sdt>
        <w:sdtPr>
          <w:id w:val="-1669238322"/>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xYzgzMjU0MGNiMmE2NzhhMjQzMzY5NjgzYzYwYWMifQ=="/>
  </w:docVars>
  <w:rsids>
    <w:rsidRoot w:val="007D5D6E"/>
    <w:rsid w:val="00002EB5"/>
    <w:rsid w:val="00005ECA"/>
    <w:rsid w:val="00006769"/>
    <w:rsid w:val="00013AE3"/>
    <w:rsid w:val="00066B74"/>
    <w:rsid w:val="00085249"/>
    <w:rsid w:val="00095184"/>
    <w:rsid w:val="000962A4"/>
    <w:rsid w:val="000B0EF6"/>
    <w:rsid w:val="000B6D31"/>
    <w:rsid w:val="000C190C"/>
    <w:rsid w:val="000D14FA"/>
    <w:rsid w:val="000D1871"/>
    <w:rsid w:val="000D6F61"/>
    <w:rsid w:val="000F7B9C"/>
    <w:rsid w:val="000F7F80"/>
    <w:rsid w:val="0010085D"/>
    <w:rsid w:val="00102469"/>
    <w:rsid w:val="00124EB8"/>
    <w:rsid w:val="00126673"/>
    <w:rsid w:val="00130AE8"/>
    <w:rsid w:val="00130D4F"/>
    <w:rsid w:val="00162F43"/>
    <w:rsid w:val="00163827"/>
    <w:rsid w:val="00174C84"/>
    <w:rsid w:val="001905B7"/>
    <w:rsid w:val="00191E22"/>
    <w:rsid w:val="00193918"/>
    <w:rsid w:val="001A7856"/>
    <w:rsid w:val="001B3A2A"/>
    <w:rsid w:val="001B5844"/>
    <w:rsid w:val="001D6040"/>
    <w:rsid w:val="001D64D2"/>
    <w:rsid w:val="001D78E6"/>
    <w:rsid w:val="001F3BAE"/>
    <w:rsid w:val="00203E4D"/>
    <w:rsid w:val="00213AC9"/>
    <w:rsid w:val="00245DB1"/>
    <w:rsid w:val="0025364E"/>
    <w:rsid w:val="00253E03"/>
    <w:rsid w:val="002739A4"/>
    <w:rsid w:val="00283E1D"/>
    <w:rsid w:val="00290276"/>
    <w:rsid w:val="0029220C"/>
    <w:rsid w:val="002B3058"/>
    <w:rsid w:val="002C5B33"/>
    <w:rsid w:val="002D3FA9"/>
    <w:rsid w:val="002D4619"/>
    <w:rsid w:val="002D6101"/>
    <w:rsid w:val="002F2E5A"/>
    <w:rsid w:val="0030163B"/>
    <w:rsid w:val="00301D77"/>
    <w:rsid w:val="00306222"/>
    <w:rsid w:val="00313529"/>
    <w:rsid w:val="00314241"/>
    <w:rsid w:val="00322B21"/>
    <w:rsid w:val="003273DC"/>
    <w:rsid w:val="003319D4"/>
    <w:rsid w:val="00332AA9"/>
    <w:rsid w:val="00333C5D"/>
    <w:rsid w:val="00344477"/>
    <w:rsid w:val="00351F87"/>
    <w:rsid w:val="00353BED"/>
    <w:rsid w:val="003622DE"/>
    <w:rsid w:val="003625E9"/>
    <w:rsid w:val="00370ABC"/>
    <w:rsid w:val="00376517"/>
    <w:rsid w:val="003779C7"/>
    <w:rsid w:val="003935E9"/>
    <w:rsid w:val="00396AF1"/>
    <w:rsid w:val="003A166C"/>
    <w:rsid w:val="003A65BB"/>
    <w:rsid w:val="003E00FE"/>
    <w:rsid w:val="003F4AC6"/>
    <w:rsid w:val="003F7142"/>
    <w:rsid w:val="003F7C2D"/>
    <w:rsid w:val="00403ED3"/>
    <w:rsid w:val="004427DD"/>
    <w:rsid w:val="00454704"/>
    <w:rsid w:val="00473DFA"/>
    <w:rsid w:val="004775D4"/>
    <w:rsid w:val="00482013"/>
    <w:rsid w:val="00493D57"/>
    <w:rsid w:val="004A3F6D"/>
    <w:rsid w:val="004B1444"/>
    <w:rsid w:val="004C088F"/>
    <w:rsid w:val="004C276F"/>
    <w:rsid w:val="004F0BC7"/>
    <w:rsid w:val="004F4845"/>
    <w:rsid w:val="0050378D"/>
    <w:rsid w:val="005129EA"/>
    <w:rsid w:val="005158D5"/>
    <w:rsid w:val="00522DC2"/>
    <w:rsid w:val="00522DC3"/>
    <w:rsid w:val="005306CD"/>
    <w:rsid w:val="005308BF"/>
    <w:rsid w:val="005315CE"/>
    <w:rsid w:val="0054529E"/>
    <w:rsid w:val="00550601"/>
    <w:rsid w:val="0055307C"/>
    <w:rsid w:val="00554E0B"/>
    <w:rsid w:val="00557BB1"/>
    <w:rsid w:val="0057133D"/>
    <w:rsid w:val="00572A27"/>
    <w:rsid w:val="00582EDC"/>
    <w:rsid w:val="0058355B"/>
    <w:rsid w:val="00591A84"/>
    <w:rsid w:val="00596CED"/>
    <w:rsid w:val="005A2846"/>
    <w:rsid w:val="005B7A83"/>
    <w:rsid w:val="005D2C31"/>
    <w:rsid w:val="005E629E"/>
    <w:rsid w:val="005F3B6D"/>
    <w:rsid w:val="0060178B"/>
    <w:rsid w:val="00617FE2"/>
    <w:rsid w:val="00626CB4"/>
    <w:rsid w:val="00640763"/>
    <w:rsid w:val="00646DB0"/>
    <w:rsid w:val="006563EF"/>
    <w:rsid w:val="006620E4"/>
    <w:rsid w:val="00686DFF"/>
    <w:rsid w:val="006918D7"/>
    <w:rsid w:val="006C5DE1"/>
    <w:rsid w:val="006D14F5"/>
    <w:rsid w:val="006E7543"/>
    <w:rsid w:val="006F15C7"/>
    <w:rsid w:val="006F3516"/>
    <w:rsid w:val="00700B1E"/>
    <w:rsid w:val="00702D0E"/>
    <w:rsid w:val="00716D37"/>
    <w:rsid w:val="0072077B"/>
    <w:rsid w:val="00732F0D"/>
    <w:rsid w:val="00740DC7"/>
    <w:rsid w:val="007430BD"/>
    <w:rsid w:val="00744047"/>
    <w:rsid w:val="00750B24"/>
    <w:rsid w:val="00752FDD"/>
    <w:rsid w:val="007536CC"/>
    <w:rsid w:val="00753B8B"/>
    <w:rsid w:val="00791564"/>
    <w:rsid w:val="007B1795"/>
    <w:rsid w:val="007D5D6E"/>
    <w:rsid w:val="007D74E7"/>
    <w:rsid w:val="007E4C82"/>
    <w:rsid w:val="007F1BD0"/>
    <w:rsid w:val="00810781"/>
    <w:rsid w:val="0081128B"/>
    <w:rsid w:val="00831942"/>
    <w:rsid w:val="00837356"/>
    <w:rsid w:val="00844724"/>
    <w:rsid w:val="008476CC"/>
    <w:rsid w:val="008524DD"/>
    <w:rsid w:val="008539AC"/>
    <w:rsid w:val="008549C7"/>
    <w:rsid w:val="00860CE2"/>
    <w:rsid w:val="008727FF"/>
    <w:rsid w:val="00874117"/>
    <w:rsid w:val="00880BEC"/>
    <w:rsid w:val="00886CDB"/>
    <w:rsid w:val="00891CFA"/>
    <w:rsid w:val="00897861"/>
    <w:rsid w:val="008A62FB"/>
    <w:rsid w:val="008B33DC"/>
    <w:rsid w:val="008C3B69"/>
    <w:rsid w:val="008D21E9"/>
    <w:rsid w:val="008D2E82"/>
    <w:rsid w:val="008E23EC"/>
    <w:rsid w:val="008E3534"/>
    <w:rsid w:val="008E6AE2"/>
    <w:rsid w:val="008F7893"/>
    <w:rsid w:val="009045D1"/>
    <w:rsid w:val="00905CCC"/>
    <w:rsid w:val="00915FE6"/>
    <w:rsid w:val="009245D9"/>
    <w:rsid w:val="009313BD"/>
    <w:rsid w:val="009378CC"/>
    <w:rsid w:val="00944183"/>
    <w:rsid w:val="00944897"/>
    <w:rsid w:val="0095170F"/>
    <w:rsid w:val="0096136F"/>
    <w:rsid w:val="00963C08"/>
    <w:rsid w:val="00965D27"/>
    <w:rsid w:val="00976BA5"/>
    <w:rsid w:val="00977DFB"/>
    <w:rsid w:val="00980C03"/>
    <w:rsid w:val="0098779E"/>
    <w:rsid w:val="00995F91"/>
    <w:rsid w:val="009A3955"/>
    <w:rsid w:val="009A4CAF"/>
    <w:rsid w:val="009D389D"/>
    <w:rsid w:val="009E2FBC"/>
    <w:rsid w:val="00A05D04"/>
    <w:rsid w:val="00A069C8"/>
    <w:rsid w:val="00A22D02"/>
    <w:rsid w:val="00A25DC3"/>
    <w:rsid w:val="00A451F2"/>
    <w:rsid w:val="00A4689E"/>
    <w:rsid w:val="00A52AC4"/>
    <w:rsid w:val="00A71CF9"/>
    <w:rsid w:val="00A90035"/>
    <w:rsid w:val="00A9449D"/>
    <w:rsid w:val="00AB7BA9"/>
    <w:rsid w:val="00AD40E2"/>
    <w:rsid w:val="00AE318F"/>
    <w:rsid w:val="00AE5626"/>
    <w:rsid w:val="00AF5D61"/>
    <w:rsid w:val="00B03B3E"/>
    <w:rsid w:val="00B24C73"/>
    <w:rsid w:val="00B2746D"/>
    <w:rsid w:val="00B42DA0"/>
    <w:rsid w:val="00B57C1D"/>
    <w:rsid w:val="00B60C2C"/>
    <w:rsid w:val="00B825CC"/>
    <w:rsid w:val="00BA0BFF"/>
    <w:rsid w:val="00BA644C"/>
    <w:rsid w:val="00BD2396"/>
    <w:rsid w:val="00BE0000"/>
    <w:rsid w:val="00BE6F6A"/>
    <w:rsid w:val="00BF2D4D"/>
    <w:rsid w:val="00BF3FCB"/>
    <w:rsid w:val="00C04D07"/>
    <w:rsid w:val="00C105DC"/>
    <w:rsid w:val="00C30BDC"/>
    <w:rsid w:val="00C33323"/>
    <w:rsid w:val="00C37788"/>
    <w:rsid w:val="00C43057"/>
    <w:rsid w:val="00C50663"/>
    <w:rsid w:val="00C56EF4"/>
    <w:rsid w:val="00C60EAF"/>
    <w:rsid w:val="00C67DB4"/>
    <w:rsid w:val="00C72E43"/>
    <w:rsid w:val="00C819B7"/>
    <w:rsid w:val="00C81A0E"/>
    <w:rsid w:val="00C847EC"/>
    <w:rsid w:val="00C84837"/>
    <w:rsid w:val="00C90123"/>
    <w:rsid w:val="00C90CAF"/>
    <w:rsid w:val="00C90D56"/>
    <w:rsid w:val="00C922B5"/>
    <w:rsid w:val="00C97610"/>
    <w:rsid w:val="00CB5766"/>
    <w:rsid w:val="00CB693B"/>
    <w:rsid w:val="00CD0257"/>
    <w:rsid w:val="00CF368D"/>
    <w:rsid w:val="00D10D66"/>
    <w:rsid w:val="00D15675"/>
    <w:rsid w:val="00D16044"/>
    <w:rsid w:val="00D1770C"/>
    <w:rsid w:val="00D231CF"/>
    <w:rsid w:val="00D43CDA"/>
    <w:rsid w:val="00D565E5"/>
    <w:rsid w:val="00DA10D8"/>
    <w:rsid w:val="00DB0219"/>
    <w:rsid w:val="00DB7916"/>
    <w:rsid w:val="00DC3765"/>
    <w:rsid w:val="00DD0525"/>
    <w:rsid w:val="00DE700C"/>
    <w:rsid w:val="00DF47D2"/>
    <w:rsid w:val="00E15AB6"/>
    <w:rsid w:val="00E50213"/>
    <w:rsid w:val="00E75779"/>
    <w:rsid w:val="00E90A12"/>
    <w:rsid w:val="00E93415"/>
    <w:rsid w:val="00EB5DD5"/>
    <w:rsid w:val="00EB7B37"/>
    <w:rsid w:val="00EC5A9F"/>
    <w:rsid w:val="00ED6492"/>
    <w:rsid w:val="00EE1486"/>
    <w:rsid w:val="00EF3492"/>
    <w:rsid w:val="00F00041"/>
    <w:rsid w:val="00F01079"/>
    <w:rsid w:val="00F3778C"/>
    <w:rsid w:val="00F5337B"/>
    <w:rsid w:val="00F7053C"/>
    <w:rsid w:val="00F84C9D"/>
    <w:rsid w:val="00F911F0"/>
    <w:rsid w:val="00F92E0B"/>
    <w:rsid w:val="00FA1C18"/>
    <w:rsid w:val="00FC40BB"/>
    <w:rsid w:val="03145C36"/>
    <w:rsid w:val="04F931B4"/>
    <w:rsid w:val="07353626"/>
    <w:rsid w:val="083A5D3E"/>
    <w:rsid w:val="097F652F"/>
    <w:rsid w:val="09FD5C80"/>
    <w:rsid w:val="0B8F321E"/>
    <w:rsid w:val="0BAE0F69"/>
    <w:rsid w:val="0BD04DB6"/>
    <w:rsid w:val="0CC32914"/>
    <w:rsid w:val="0F9D4515"/>
    <w:rsid w:val="12C11955"/>
    <w:rsid w:val="165445CE"/>
    <w:rsid w:val="18047486"/>
    <w:rsid w:val="19550115"/>
    <w:rsid w:val="1A6B1A91"/>
    <w:rsid w:val="1B77B1C0"/>
    <w:rsid w:val="1EA8092B"/>
    <w:rsid w:val="1ED92ED1"/>
    <w:rsid w:val="20511636"/>
    <w:rsid w:val="21353D6A"/>
    <w:rsid w:val="22456F79"/>
    <w:rsid w:val="23E56870"/>
    <w:rsid w:val="252E5C1D"/>
    <w:rsid w:val="25EF7B28"/>
    <w:rsid w:val="27BE4450"/>
    <w:rsid w:val="28E6553A"/>
    <w:rsid w:val="29435D56"/>
    <w:rsid w:val="29FD282F"/>
    <w:rsid w:val="2B5E77F7"/>
    <w:rsid w:val="2CE676A7"/>
    <w:rsid w:val="2D0A14EA"/>
    <w:rsid w:val="2DC06AF3"/>
    <w:rsid w:val="308415B4"/>
    <w:rsid w:val="31837B2A"/>
    <w:rsid w:val="32D142EE"/>
    <w:rsid w:val="35C30488"/>
    <w:rsid w:val="36687B95"/>
    <w:rsid w:val="36DFF3EB"/>
    <w:rsid w:val="398A7934"/>
    <w:rsid w:val="3A6A7A6C"/>
    <w:rsid w:val="3D3C1C60"/>
    <w:rsid w:val="3DCFEFF1"/>
    <w:rsid w:val="3E0C6E57"/>
    <w:rsid w:val="3E2C322A"/>
    <w:rsid w:val="3E2C58CC"/>
    <w:rsid w:val="3FA7986B"/>
    <w:rsid w:val="444329AB"/>
    <w:rsid w:val="44C102ED"/>
    <w:rsid w:val="4617472C"/>
    <w:rsid w:val="4AD84FFB"/>
    <w:rsid w:val="4D055CB0"/>
    <w:rsid w:val="4D5BD7B6"/>
    <w:rsid w:val="4DE67D47"/>
    <w:rsid w:val="4FA5EA8D"/>
    <w:rsid w:val="50736F60"/>
    <w:rsid w:val="52480D7A"/>
    <w:rsid w:val="537E6F6A"/>
    <w:rsid w:val="53A616BE"/>
    <w:rsid w:val="542209C4"/>
    <w:rsid w:val="55D41C16"/>
    <w:rsid w:val="56FFD7EC"/>
    <w:rsid w:val="575D36CD"/>
    <w:rsid w:val="5A9F0606"/>
    <w:rsid w:val="5C6F7317"/>
    <w:rsid w:val="5D1562B3"/>
    <w:rsid w:val="5D57A0F4"/>
    <w:rsid w:val="5DADB795"/>
    <w:rsid w:val="5DE009BD"/>
    <w:rsid w:val="5DFE19AF"/>
    <w:rsid w:val="5DFFADB9"/>
    <w:rsid w:val="5E6C4468"/>
    <w:rsid w:val="5ED510A9"/>
    <w:rsid w:val="5EEF5D0E"/>
    <w:rsid w:val="5F9F965D"/>
    <w:rsid w:val="5FD32DE2"/>
    <w:rsid w:val="60BE1810"/>
    <w:rsid w:val="62777998"/>
    <w:rsid w:val="63C63B77"/>
    <w:rsid w:val="63DFAB19"/>
    <w:rsid w:val="65B13B9F"/>
    <w:rsid w:val="67EF4245"/>
    <w:rsid w:val="6A4F6E2E"/>
    <w:rsid w:val="6AEE08A8"/>
    <w:rsid w:val="6BF9E9D6"/>
    <w:rsid w:val="6C356837"/>
    <w:rsid w:val="6C9F44CC"/>
    <w:rsid w:val="6DB054F4"/>
    <w:rsid w:val="6DC7E804"/>
    <w:rsid w:val="6DE63377"/>
    <w:rsid w:val="6EAC4C1E"/>
    <w:rsid w:val="6F57F80E"/>
    <w:rsid w:val="6FBFF309"/>
    <w:rsid w:val="6FE715AF"/>
    <w:rsid w:val="6FEF57D1"/>
    <w:rsid w:val="719E3F22"/>
    <w:rsid w:val="71FFE9E7"/>
    <w:rsid w:val="74915A97"/>
    <w:rsid w:val="77FFF177"/>
    <w:rsid w:val="78A30137"/>
    <w:rsid w:val="78DD7985"/>
    <w:rsid w:val="79696437"/>
    <w:rsid w:val="7A172625"/>
    <w:rsid w:val="7BC333BE"/>
    <w:rsid w:val="7BDBEF02"/>
    <w:rsid w:val="7C182979"/>
    <w:rsid w:val="7D2F5ACD"/>
    <w:rsid w:val="7DA4A0BE"/>
    <w:rsid w:val="7E0E43FC"/>
    <w:rsid w:val="7EFC7ED3"/>
    <w:rsid w:val="7F394EB1"/>
    <w:rsid w:val="7F9E244C"/>
    <w:rsid w:val="7FBF654D"/>
    <w:rsid w:val="7FCF447B"/>
    <w:rsid w:val="7FDB02A0"/>
    <w:rsid w:val="7FDB8B9E"/>
    <w:rsid w:val="7FDDBB09"/>
    <w:rsid w:val="7FDE3A7A"/>
    <w:rsid w:val="7FF553A7"/>
    <w:rsid w:val="7FFF13F7"/>
    <w:rsid w:val="7FFF1A8D"/>
    <w:rsid w:val="98FF3E9C"/>
    <w:rsid w:val="9E31747D"/>
    <w:rsid w:val="A6CFE43C"/>
    <w:rsid w:val="A96F1663"/>
    <w:rsid w:val="ABFF734B"/>
    <w:rsid w:val="BFBDCDA1"/>
    <w:rsid w:val="BFE34832"/>
    <w:rsid w:val="C73FB1B2"/>
    <w:rsid w:val="D6BE7D96"/>
    <w:rsid w:val="D7DF5F71"/>
    <w:rsid w:val="DADFAB2C"/>
    <w:rsid w:val="DB7FCE5E"/>
    <w:rsid w:val="DBDFBF82"/>
    <w:rsid w:val="DBEF6A92"/>
    <w:rsid w:val="DC2E1F9A"/>
    <w:rsid w:val="DE5FD26B"/>
    <w:rsid w:val="DF77250B"/>
    <w:rsid w:val="E3F128DA"/>
    <w:rsid w:val="EDCE7AE1"/>
    <w:rsid w:val="EDDA4F25"/>
    <w:rsid w:val="EDFF3A25"/>
    <w:rsid w:val="EE6B5F08"/>
    <w:rsid w:val="EE7D71FB"/>
    <w:rsid w:val="EEFF4D6D"/>
    <w:rsid w:val="EF6F3993"/>
    <w:rsid w:val="F3BFC3BF"/>
    <w:rsid w:val="F3FBCF79"/>
    <w:rsid w:val="F52F6A9C"/>
    <w:rsid w:val="F6B78A49"/>
    <w:rsid w:val="F7F8B2F9"/>
    <w:rsid w:val="FA33255A"/>
    <w:rsid w:val="FAA9D66D"/>
    <w:rsid w:val="FB8B63E9"/>
    <w:rsid w:val="FBBF21DD"/>
    <w:rsid w:val="FBFE2441"/>
    <w:rsid w:val="FD26E274"/>
    <w:rsid w:val="FD5E0D34"/>
    <w:rsid w:val="FD6F1AE4"/>
    <w:rsid w:val="FD7B22DB"/>
    <w:rsid w:val="FDBF5A93"/>
    <w:rsid w:val="FDED7C30"/>
    <w:rsid w:val="FEFD1EBB"/>
    <w:rsid w:val="FEFFF84C"/>
    <w:rsid w:val="FF771B06"/>
    <w:rsid w:val="FF7B9604"/>
    <w:rsid w:val="FFA72412"/>
    <w:rsid w:val="FFABD504"/>
    <w:rsid w:val="FFBF9820"/>
    <w:rsid w:val="FFCD5E0E"/>
    <w:rsid w:val="FFEB914D"/>
    <w:rsid w:val="FFF983C5"/>
    <w:rsid w:val="FFFB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line="620" w:lineRule="exact"/>
      <w:ind w:firstLine="640" w:firstLineChars="200"/>
    </w:pPr>
    <w:rPr>
      <w:rFonts w:eastAsia="仿宋_GB2312"/>
      <w:sz w:val="32"/>
    </w:rPr>
  </w:style>
  <w:style w:type="paragraph" w:styleId="4">
    <w:name w:val="Body Text Indent 2"/>
    <w:basedOn w:val="1"/>
    <w:unhideWhenUsed/>
    <w:qFormat/>
    <w:uiPriority w:val="99"/>
    <w:pPr>
      <w:ind w:firstLine="630"/>
    </w:pPr>
    <w:rPr>
      <w:rFonts w:hint="eastAsia" w:eastAsia="宋体"/>
      <w:b/>
      <w:sz w:val="32"/>
      <w:szCs w:val="24"/>
    </w:rPr>
  </w:style>
  <w:style w:type="paragraph" w:styleId="5">
    <w:name w:val="Body Text"/>
    <w:basedOn w:val="1"/>
    <w:next w:val="6"/>
    <w:qFormat/>
    <w:uiPriority w:val="0"/>
    <w:rPr>
      <w:rFonts w:eastAsia="楷体_GB2312"/>
      <w:sz w:val="84"/>
    </w:rPr>
  </w:style>
  <w:style w:type="paragraph" w:styleId="6">
    <w:name w:val="toc 5"/>
    <w:basedOn w:val="1"/>
    <w:next w:val="1"/>
    <w:qFormat/>
    <w:uiPriority w:val="0"/>
    <w:pPr>
      <w:ind w:left="1680"/>
    </w:pPr>
  </w:style>
  <w:style w:type="paragraph" w:styleId="7">
    <w:name w:val="Balloon Text"/>
    <w:basedOn w:val="1"/>
    <w:link w:val="18"/>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customStyle="1" w:styleId="14">
    <w:name w:val="页脚 字符"/>
    <w:basedOn w:val="12"/>
    <w:link w:val="8"/>
    <w:qFormat/>
    <w:uiPriority w:val="99"/>
    <w:rPr>
      <w:kern w:val="2"/>
      <w:sz w:val="18"/>
      <w:szCs w:val="22"/>
    </w:rPr>
  </w:style>
  <w:style w:type="paragraph" w:customStyle="1" w:styleId="15">
    <w:name w:val="BodyText1I2"/>
    <w:basedOn w:val="16"/>
    <w:qFormat/>
    <w:uiPriority w:val="0"/>
    <w:pPr>
      <w:ind w:firstLine="1044" w:firstLineChars="200"/>
    </w:pPr>
  </w:style>
  <w:style w:type="paragraph" w:customStyle="1" w:styleId="16">
    <w:name w:val="BodyTextIndent"/>
    <w:basedOn w:val="1"/>
    <w:qFormat/>
    <w:uiPriority w:val="0"/>
    <w:pPr>
      <w:ind w:firstLine="883"/>
      <w:textAlignment w:val="baseline"/>
    </w:pPr>
    <w:rPr>
      <w:rFonts w:ascii="Times New Roman" w:hAnsi="Times New Roman" w:eastAsia="宋体"/>
      <w:szCs w:val="24"/>
    </w:rPr>
  </w:style>
  <w:style w:type="paragraph" w:customStyle="1" w:styleId="17">
    <w:name w:val="BodyText"/>
    <w:basedOn w:val="1"/>
    <w:qFormat/>
    <w:uiPriority w:val="0"/>
    <w:rPr>
      <w:rFonts w:ascii="Calibri" w:hAnsi="Calibri" w:eastAsia="宋体" w:cs="Times New Roman"/>
      <w:szCs w:val="24"/>
    </w:rPr>
  </w:style>
  <w:style w:type="character" w:customStyle="1" w:styleId="18">
    <w:name w:val="批注框文本 字符"/>
    <w:basedOn w:val="12"/>
    <w:link w:val="7"/>
    <w:semiHidden/>
    <w:qFormat/>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庆达咨询</Company>
  <Pages>2</Pages>
  <Words>1566</Words>
  <Characters>1581</Characters>
  <Lines>9</Lines>
  <Paragraphs>2</Paragraphs>
  <TotalTime>0</TotalTime>
  <ScaleCrop>false</ScaleCrop>
  <LinksUpToDate>false</LinksUpToDate>
  <CharactersWithSpaces>1582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2022-08-22T22:28:00Z</dcterms:created>
  <dc:creator>QDZX-MyQ</dc:creator>
  <cp:lastModifiedBy>亮</cp:lastModifiedBy>
  <dcterms:modified xsi:type="dcterms:W3CDTF">2022-09-19T06:59:55Z</dcterms:modified>
  <dc:title>《中共河源市委  河源市人民政府关于加大有效投资力度加快推进“示范区”“排头兵”</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8903F62D46DD401DA37AA6572E761B92</vt:lpwstr>
  </property>
</Properties>
</file>