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附件3</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关于2018年中央环境保护督察“回头看”</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方正小标宋简体" w:eastAsia="方正小标宋简体" w:cs="方正小标宋简体"/>
          <w:kern w:val="2"/>
          <w:sz w:val="44"/>
          <w:szCs w:val="44"/>
          <w:lang w:val="en-US" w:eastAsia="zh-CN" w:bidi="ar-SA"/>
        </w:rPr>
      </w:pPr>
      <w:r>
        <w:rPr>
          <w:rFonts w:hint="eastAsia" w:ascii="方正小标宋简体" w:hAnsi="方正小标宋简体" w:eastAsia="方正小标宋简体" w:cs="方正小标宋简体"/>
          <w:kern w:val="2"/>
          <w:sz w:val="44"/>
          <w:szCs w:val="44"/>
          <w:lang w:val="en-US" w:eastAsia="zh-CN" w:bidi="ar-SA"/>
        </w:rPr>
        <w:t>整改任务编号二十七整改销号的公示</w:t>
      </w: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left"/>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《广东省环境保护督察整改工作领导小组办公室关于规范中央生态环境保护督察整改任务销号工作的通知》</w:t>
      </w:r>
      <w:r>
        <w:rPr>
          <w:rFonts w:hint="eastAsia" w:ascii="仿宋_GB2312" w:hAnsi="仿宋_GB2312" w:eastAsia="仿宋_GB2312" w:cs="仿宋_GB2312"/>
          <w:sz w:val="32"/>
          <w:szCs w:val="32"/>
          <w:lang w:val="en-US" w:eastAsia="zh-CN"/>
        </w:rPr>
        <w:t>和</w:t>
      </w:r>
      <w:r>
        <w:rPr>
          <w:rFonts w:hint="eastAsia" w:ascii="仿宋_GB2312" w:hAnsi="仿宋_GB2312" w:eastAsia="仿宋_GB2312" w:cs="仿宋_GB2312"/>
          <w:sz w:val="32"/>
          <w:szCs w:val="32"/>
          <w:lang w:eastAsia="zh-CN"/>
        </w:rPr>
        <w:t>我市印发的《关于加快完成中央生态环境保护督察整改任务销号工作的通知》</w:t>
      </w:r>
      <w:r>
        <w:rPr>
          <w:rFonts w:hint="eastAsia" w:ascii="仿宋_GB2312" w:hAnsi="仿宋_GB2312" w:eastAsia="仿宋_GB2312" w:cs="仿宋_GB2312"/>
          <w:sz w:val="32"/>
          <w:szCs w:val="32"/>
          <w:lang w:val="en-US" w:eastAsia="zh-CN"/>
        </w:rPr>
        <w:t>的工作</w:t>
      </w:r>
      <w:r>
        <w:rPr>
          <w:rFonts w:hint="eastAsia" w:ascii="仿宋_GB2312" w:hAnsi="仿宋_GB2312" w:eastAsia="仿宋_GB2312" w:cs="仿宋_GB2312"/>
          <w:sz w:val="32"/>
          <w:szCs w:val="32"/>
          <w:lang w:eastAsia="zh-CN"/>
        </w:rPr>
        <w:t>要求，</w:t>
      </w:r>
      <w:r>
        <w:rPr>
          <w:rFonts w:hint="eastAsia" w:ascii="仿宋_GB2312" w:hAnsi="仿宋_GB2312" w:eastAsia="仿宋_GB2312" w:cs="仿宋_GB2312"/>
          <w:sz w:val="32"/>
          <w:szCs w:val="32"/>
          <w:lang w:val="en-US" w:eastAsia="zh-CN"/>
        </w:rPr>
        <w:t>我市对照中央环境保护督察整改目标及整改措施，认真自查，举一反三，完成了2018年中央环境保护督察“回头看”整改任务编号二十七的整改工作，现将有关情况公示如下：</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黑体" w:cs="黑体"/>
          <w:sz w:val="32"/>
        </w:rPr>
      </w:pPr>
      <w:r>
        <w:rPr>
          <w:rFonts w:hint="eastAsia" w:ascii="宋体" w:hAnsi="宋体" w:eastAsia="黑体" w:cs="黑体"/>
          <w:sz w:val="32"/>
        </w:rPr>
        <w:t>一、整改任务</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方正仿宋_GBK" w:cs="方正仿宋_GBK"/>
          <w:sz w:val="32"/>
        </w:rPr>
      </w:pPr>
      <w:r>
        <w:rPr>
          <w:rFonts w:hint="eastAsia" w:ascii="楷体_GB2312" w:hAnsi="楷体_GB2312" w:eastAsia="楷体_GB2312" w:cs="楷体_GB2312"/>
          <w:sz w:val="32"/>
        </w:rPr>
        <w:t>（一）反馈问题：</w:t>
      </w:r>
      <w:r>
        <w:rPr>
          <w:rFonts w:hint="eastAsia" w:ascii="仿宋_GB2312" w:hAnsi="仿宋_GB2312" w:eastAsia="仿宋_GB2312" w:cs="仿宋_GB2312"/>
          <w:sz w:val="32"/>
        </w:rPr>
        <w:t>在饮用水水源保护区违法违规项目清理工作中，省生态环境部门指导督促不力，惠州、湛江、阳江、云浮、汕头等十多个地市未按要求制订水源一级保护区违法违规项目清理整治方案，且瞒报、漏报问题十分普遍，至今还有项目未按序时进度清理到位。</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rPr>
      </w:pPr>
      <w:r>
        <w:rPr>
          <w:rFonts w:hint="eastAsia" w:ascii="楷体_GB2312" w:hAnsi="楷体_GB2312" w:eastAsia="楷体_GB2312" w:cs="楷体_GB2312"/>
          <w:sz w:val="32"/>
        </w:rPr>
        <w:t>（二）整改时限：</w:t>
      </w:r>
      <w:r>
        <w:rPr>
          <w:rFonts w:hint="eastAsia" w:ascii="仿宋_GB2312" w:hAnsi="仿宋_GB2312" w:eastAsia="仿宋_GB2312" w:cs="仿宋_GB2312"/>
          <w:sz w:val="32"/>
        </w:rPr>
        <w:t>2020年年底前。</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rPr>
      </w:pPr>
      <w:r>
        <w:rPr>
          <w:rFonts w:hint="eastAsia" w:ascii="楷体_GB2312" w:hAnsi="楷体_GB2312" w:eastAsia="楷体_GB2312" w:cs="楷体_GB2312"/>
          <w:sz w:val="32"/>
        </w:rPr>
        <w:t>（三）整改目标：</w:t>
      </w:r>
      <w:r>
        <w:rPr>
          <w:rFonts w:hint="eastAsia" w:ascii="仿宋_GB2312" w:hAnsi="仿宋_GB2312" w:eastAsia="仿宋_GB2312" w:cs="仿宋_GB2312"/>
          <w:sz w:val="32"/>
        </w:rPr>
        <w:t>按期完成饮用水水源一级保护区内违法违规项目清理整治，着力消除饮用水水源环境安全隐患，保障饮用水水源水质安全。</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楷体_GB2312" w:hAnsi="楷体_GB2312" w:eastAsia="楷体_GB2312" w:cs="楷体_GB2312"/>
          <w:sz w:val="32"/>
        </w:rPr>
        <w:t>（四</w:t>
      </w:r>
      <w:r>
        <w:rPr>
          <w:rFonts w:hint="eastAsia" w:ascii="楷体_GB2312" w:hAnsi="楷体_GB2312" w:eastAsia="楷体_GB2312" w:cs="楷体_GB2312"/>
          <w:sz w:val="32"/>
          <w:lang w:eastAsia="zh-CN"/>
        </w:rPr>
        <w:t>）</w:t>
      </w:r>
      <w:r>
        <w:rPr>
          <w:rFonts w:hint="eastAsia" w:ascii="楷体_GB2312" w:hAnsi="楷体_GB2312" w:eastAsia="楷体_GB2312" w:cs="楷体_GB2312"/>
          <w:sz w:val="32"/>
        </w:rPr>
        <w:t>整改措施：</w:t>
      </w:r>
      <w:r>
        <w:rPr>
          <w:rFonts w:hint="eastAsia" w:ascii="仿宋_GB2312" w:hAnsi="仿宋_GB2312" w:eastAsia="仿宋_GB2312" w:cs="仿宋_GB2312"/>
          <w:kern w:val="2"/>
          <w:sz w:val="32"/>
          <w:szCs w:val="22"/>
          <w:lang w:val="en-US" w:eastAsia="zh-CN" w:bidi="ar-SA"/>
        </w:rPr>
        <w:t>加快饮用水水源保护区环境问题清理整治。各地级以上市党委、政府严格落实主体责任，进一步加大清理整治力度，全面清理全市饮用水水源保护区违规项目。对饮用水水源保护区内违法项目进行全面排查清理，市级饮用水水源一级保护区内违法建设项目于2018年12月底前完成整治。</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县级饮用水水源一级保护区内违法建设项目于2019年12月底前完成整治。</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kern w:val="2"/>
          <w:sz w:val="32"/>
          <w:szCs w:val="22"/>
          <w:lang w:val="en-US" w:eastAsia="zh-CN" w:bidi="ar-SA"/>
        </w:rPr>
      </w:pPr>
      <w:r>
        <w:rPr>
          <w:rFonts w:hint="eastAsia" w:ascii="仿宋_GB2312" w:hAnsi="仿宋_GB2312" w:eastAsia="仿宋_GB2312" w:cs="仿宋_GB2312"/>
          <w:kern w:val="2"/>
          <w:sz w:val="32"/>
          <w:szCs w:val="22"/>
          <w:lang w:val="en-US" w:eastAsia="zh-CN" w:bidi="ar-SA"/>
        </w:rPr>
        <w:t>饮用水水源一级保护区内违法建筑于2020年12月底前完成整治。对于新发现问题，发现一宗清理整治一宗。</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黑体" w:cs="黑体"/>
          <w:sz w:val="32"/>
        </w:rPr>
      </w:pPr>
      <w:r>
        <w:rPr>
          <w:rFonts w:hint="eastAsia" w:ascii="宋体" w:hAnsi="宋体" w:eastAsia="黑体" w:cs="黑体"/>
          <w:sz w:val="32"/>
        </w:rPr>
        <w:t>二、整改落实情况</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rPr>
      </w:pPr>
      <w:r>
        <w:rPr>
          <w:rFonts w:hint="eastAsia" w:ascii="楷体_GB2312" w:hAnsi="楷体_GB2312" w:eastAsia="楷体_GB2312" w:cs="楷体_GB2312"/>
          <w:sz w:val="32"/>
        </w:rPr>
        <w:t>（一）整改目标完成情况</w:t>
      </w:r>
      <w:r>
        <w:rPr>
          <w:rFonts w:hint="eastAsia" w:ascii="楷体_GB2312" w:hAnsi="楷体_GB2312" w:eastAsia="楷体_GB2312" w:cs="楷体_GB2312"/>
          <w:sz w:val="32"/>
          <w:lang w:eastAsia="zh-CN"/>
        </w:rPr>
        <w:t>：</w:t>
      </w:r>
      <w:r>
        <w:rPr>
          <w:rFonts w:hint="eastAsia" w:ascii="仿宋_GB2312" w:hAnsi="仿宋_GB2312" w:eastAsia="仿宋_GB2312" w:cs="仿宋_GB2312"/>
          <w:sz w:val="32"/>
        </w:rPr>
        <w:t>已完成整改。我市于2016年至2020年间，多次开展饮用水水源一级保护区内违法建设项目及建筑排查清理，共清理整治2个河沙堆场、3间餐饮场所、11户居民违法建筑、3家养猪场及2处码头，我市饮用水水源一级保护区内违法建设项目及建筑已全面清理整治完毕。</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楷体_GB2312" w:hAnsi="楷体_GB2312" w:eastAsia="楷体_GB2312" w:cs="楷体_GB2312"/>
          <w:sz w:val="32"/>
          <w:lang w:eastAsia="zh-CN"/>
        </w:rPr>
      </w:pPr>
      <w:r>
        <w:rPr>
          <w:rFonts w:hint="eastAsia" w:ascii="楷体_GB2312" w:hAnsi="楷体_GB2312" w:eastAsia="楷体_GB2312" w:cs="楷体_GB2312"/>
          <w:sz w:val="32"/>
        </w:rPr>
        <w:t>（二）整改措施落实情况</w:t>
      </w:r>
      <w:r>
        <w:rPr>
          <w:rFonts w:hint="eastAsia" w:ascii="楷体_GB2312" w:hAnsi="楷体_GB2312" w:eastAsia="楷体_GB2312" w:cs="楷体_GB2312"/>
          <w:sz w:val="32"/>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b w:val="0"/>
          <w:bCs w:val="0"/>
          <w:sz w:val="32"/>
        </w:rPr>
        <w:t>1.加强统筹组织，开展专项执法行动。</w:t>
      </w:r>
      <w:r>
        <w:rPr>
          <w:rFonts w:hint="eastAsia" w:ascii="仿宋_GB2312" w:hAnsi="仿宋_GB2312" w:eastAsia="仿宋_GB2312" w:cs="仿宋_GB2312"/>
          <w:b w:val="0"/>
          <w:bCs w:val="0"/>
          <w:sz w:val="32"/>
          <w:lang w:val="en-US" w:eastAsia="zh-CN"/>
        </w:rPr>
        <w:t>2017年9月，</w:t>
      </w:r>
      <w:r>
        <w:rPr>
          <w:rFonts w:hint="eastAsia" w:ascii="仿宋_GB2312" w:hAnsi="仿宋_GB2312" w:eastAsia="仿宋_GB2312" w:cs="仿宋_GB2312"/>
          <w:sz w:val="32"/>
          <w:lang w:val="en-US" w:eastAsia="zh-CN"/>
        </w:rPr>
        <w:t>制定了《关于印发河源市落实中央环保督察反馈意见涉及饮用水源保护区内违法建设项目和违法建筑问题的清理整治工作方案的通知》，明确整改目标、措施和时限，组织各县（区）立行立改。同时，我市配合原环境保护部华南督察局对整改工作进行现场督查，下发了《关于迅速组织开展源城区饮用水源周边环境综合整治的通知》，督促源城区扎实推进各项整改任务落实。</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lang w:eastAsia="zh-CN"/>
        </w:rPr>
        <w:t>一是</w:t>
      </w:r>
      <w:r>
        <w:rPr>
          <w:rFonts w:hint="eastAsia" w:ascii="仿宋_GB2312" w:hAnsi="仿宋_GB2312" w:eastAsia="仿宋_GB2312" w:cs="仿宋_GB2312"/>
          <w:sz w:val="32"/>
        </w:rPr>
        <w:t>清理整治河沙堆场及石场。2018年1月30日完成源城区源南镇墩头林场罗坑口和塔坑村塔坑口水库边2处河沙堆场平整清理。</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sz w:val="32"/>
          <w:lang w:val="en-US" w:eastAsia="zh-CN"/>
        </w:rPr>
      </w:pPr>
      <w:r>
        <w:rPr>
          <w:rFonts w:hint="eastAsia" w:ascii="仿宋_GB2312" w:hAnsi="仿宋_GB2312" w:eastAsia="仿宋_GB2312" w:cs="仿宋_GB2312"/>
          <w:sz w:val="32"/>
          <w:lang w:eastAsia="zh-CN"/>
        </w:rPr>
        <w:t>二是</w:t>
      </w:r>
      <w:r>
        <w:rPr>
          <w:rFonts w:hint="eastAsia" w:ascii="仿宋_GB2312" w:hAnsi="仿宋_GB2312" w:eastAsia="仿宋_GB2312" w:cs="仿宋_GB2312"/>
          <w:sz w:val="32"/>
        </w:rPr>
        <w:t>关闭清拆餐饮场所。2016年12月20日依法关停源城区源南镇塔坑村野趣沟墩头林场大排档、桂山客家餐馆、明月泉饮食山庄等3间餐饮场所</w:t>
      </w:r>
      <w:r>
        <w:rPr>
          <w:rFonts w:hint="eastAsia" w:ascii="仿宋_GB2312" w:hAnsi="仿宋_GB2312" w:eastAsia="仿宋_GB2312" w:cs="仿宋_GB2312"/>
          <w:sz w:val="32"/>
          <w:lang w:eastAsia="zh-CN"/>
        </w:rPr>
        <w:t>；</w:t>
      </w:r>
      <w:r>
        <w:rPr>
          <w:rFonts w:hint="eastAsia" w:ascii="仿宋_GB2312" w:hAnsi="仿宋_GB2312" w:eastAsia="仿宋_GB2312" w:cs="仿宋_GB2312"/>
          <w:sz w:val="32"/>
        </w:rPr>
        <w:t>2018年5月25日至29日依法清拆该3间餐饮场所共计11栋建筑物；</w:t>
      </w:r>
      <w:r>
        <w:rPr>
          <w:rFonts w:hint="eastAsia" w:ascii="仿宋_GB2312" w:hAnsi="仿宋_GB2312" w:eastAsia="仿宋_GB2312" w:cs="仿宋_GB2312"/>
          <w:sz w:val="32"/>
          <w:lang w:val="en-US" w:eastAsia="zh-CN"/>
        </w:rPr>
        <w:t>2017年年底关停紫金县紫城镇白溪水库饮用水水源保护区陈振强餐厅、张百林农家乐、张发来农家乐、刘远林绿色农庄共4间家庭式餐饮场所。</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lang w:eastAsia="zh-CN"/>
        </w:rPr>
        <w:t>三是</w:t>
      </w:r>
      <w:r>
        <w:rPr>
          <w:rFonts w:hint="eastAsia" w:ascii="仿宋_GB2312" w:hAnsi="仿宋_GB2312" w:eastAsia="仿宋_GB2312" w:cs="仿宋_GB2312"/>
          <w:sz w:val="32"/>
        </w:rPr>
        <w:t>清拆居民违法建筑。2018年6月18日依法清拆源城区东埔街道葫芦坳2户共5栋居民违法建筑物；2018年8月13日依法清拆源城区源南镇塔坑村、神寮斜4户共7栋居民违法建筑物；2020年4月16日依法清拆源城区源南镇塔坑村5户共5栋居民违法建筑物。</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sz w:val="32"/>
          <w:lang w:eastAsia="zh-CN"/>
        </w:rPr>
        <w:t>四是</w:t>
      </w:r>
      <w:r>
        <w:rPr>
          <w:rFonts w:hint="eastAsia" w:ascii="仿宋_GB2312" w:hAnsi="仿宋_GB2312" w:eastAsia="仿宋_GB2312" w:cs="仿宋_GB2312"/>
          <w:sz w:val="32"/>
        </w:rPr>
        <w:t>清理整治码头、船舶。2018年5月29日依法清拆源城区源南镇塔坑村野趣沟旅游区简易码头1处；2019年1月24日与东源县大坝渔业专业合作社签订协议，驱离合作社7户渔民渔船，并拆除1处停靠码头。</w:t>
      </w:r>
    </w:p>
    <w:p>
      <w:pPr>
        <w:pageBreakBefore w:val="0"/>
        <w:widowControl w:val="0"/>
        <w:tabs>
          <w:tab w:val="left" w:pos="999"/>
        </w:tabs>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rPr>
      </w:pPr>
      <w:r>
        <w:rPr>
          <w:rFonts w:hint="eastAsia" w:ascii="仿宋_GB2312" w:hAnsi="仿宋_GB2312" w:eastAsia="仿宋_GB2312" w:cs="仿宋_GB2312"/>
          <w:sz w:val="32"/>
          <w:lang w:eastAsia="zh-CN"/>
        </w:rPr>
        <w:t>五是</w:t>
      </w:r>
      <w:r>
        <w:rPr>
          <w:rFonts w:hint="eastAsia" w:ascii="仿宋_GB2312" w:hAnsi="仿宋_GB2312" w:eastAsia="仿宋_GB2312" w:cs="仿宋_GB2312"/>
          <w:sz w:val="32"/>
        </w:rPr>
        <w:t>清理整治养殖场。2017年9月4日依法清拆和平县黄</w:t>
      </w:r>
      <w:r>
        <w:rPr>
          <w:rFonts w:hint="eastAsia" w:ascii="仿宋_GB2312" w:hAnsi="仿宋_GB2312" w:eastAsia="仿宋_GB2312" w:cs="仿宋_GB2312"/>
          <w:sz w:val="32"/>
          <w:lang w:eastAsia="zh-CN"/>
        </w:rPr>
        <w:t>蜂</w:t>
      </w:r>
      <w:r>
        <w:rPr>
          <w:rFonts w:hint="eastAsia" w:ascii="仿宋_GB2312" w:hAnsi="仿宋_GB2312" w:eastAsia="仿宋_GB2312" w:cs="仿宋_GB2312"/>
          <w:sz w:val="32"/>
        </w:rPr>
        <w:t>斗水库一级饮用水保护区黄新获、黄新团、黄丙文3家养猪场。</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_GB2312" w:hAnsi="仿宋_GB2312" w:eastAsia="仿宋_GB2312" w:cs="仿宋_GB2312"/>
          <w:sz w:val="32"/>
        </w:rPr>
      </w:pPr>
      <w:r>
        <w:rPr>
          <w:rFonts w:hint="eastAsia" w:ascii="仿宋_GB2312" w:hAnsi="仿宋_GB2312" w:eastAsia="仿宋_GB2312" w:cs="仿宋_GB2312"/>
          <w:b w:val="0"/>
          <w:bCs w:val="0"/>
          <w:sz w:val="32"/>
        </w:rPr>
        <w:t>2.强化日常巡查，落实常态化执法。</w:t>
      </w:r>
      <w:r>
        <w:rPr>
          <w:rFonts w:hint="eastAsia" w:ascii="仿宋_GB2312" w:hAnsi="仿宋_GB2312" w:eastAsia="仿宋_GB2312" w:cs="仿宋_GB2312"/>
          <w:sz w:val="32"/>
        </w:rPr>
        <w:t>按照《新丰江水库生态环境保护巡查制度》等常态化工作制度要求，结合每年开展的汛期环境安全大检查等专项执法行动，强化全市重要的饮用水水源保护区日常巡查和清理整治“回头看”工作，认真排查并治理饮用水水源保护区内环境安全隐患，防止已完成整治问题死灰复燃，对于新发现问题，发现一宗清理整治一宗，有效保障饮用水水源地环境安全。</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ascii="宋体" w:hAnsi="宋体" w:eastAsia="黑体" w:cs="黑体"/>
          <w:sz w:val="32"/>
        </w:rPr>
      </w:pPr>
      <w:r>
        <w:rPr>
          <w:rFonts w:hint="eastAsia" w:ascii="宋体" w:hAnsi="宋体" w:eastAsia="黑体" w:cs="黑体"/>
          <w:sz w:val="32"/>
        </w:rPr>
        <w:t>三、评估结论</w:t>
      </w:r>
    </w:p>
    <w:p>
      <w:pPr>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已完成整改目标，并针对目标落实相应整改措施。</w:t>
      </w:r>
      <w:r>
        <w:rPr>
          <w:rFonts w:hint="eastAsia" w:ascii="仿宋_GB2312" w:hAnsi="仿宋_GB2312" w:eastAsia="仿宋_GB2312" w:cs="仿宋_GB2312"/>
          <w:sz w:val="32"/>
          <w:szCs w:val="32"/>
          <w:lang w:eastAsia="zh-CN"/>
        </w:rPr>
        <w:t>决定</w:t>
      </w:r>
      <w:r>
        <w:rPr>
          <w:rFonts w:hint="eastAsia" w:ascii="仿宋_GB2312" w:hAnsi="仿宋_GB2312" w:eastAsia="仿宋_GB2312" w:cs="仿宋_GB2312"/>
          <w:sz w:val="32"/>
          <w:szCs w:val="32"/>
        </w:rPr>
        <w:t>对201</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年中央环境保护督察“回头看”督察整改任务措施编号二十七予以销号。</w:t>
      </w:r>
    </w:p>
    <w:p>
      <w:pPr>
        <w:pStyle w:val="3"/>
        <w:rPr>
          <w:rFonts w:hint="eastAsia" w:ascii="仿宋_GB2312" w:hAnsi="仿宋_GB2312" w:eastAsia="仿宋_GB2312" w:cs="仿宋_GB2312"/>
          <w:sz w:val="32"/>
          <w:szCs w:val="32"/>
        </w:rPr>
      </w:pPr>
    </w:p>
    <w:p>
      <w:pPr>
        <w:numPr>
          <w:ilvl w:val="0"/>
          <w:numId w:val="0"/>
        </w:numPr>
        <w:ind w:firstLine="640"/>
        <w:jc w:val="both"/>
        <w:rPr>
          <w:rFonts w:hint="eastAsia" w:ascii="仿宋_GB2312" w:hAnsi="仿宋_GB2312" w:eastAsia="仿宋_GB2312" w:cs="仿宋_GB2312"/>
          <w:color w:val="auto"/>
          <w:sz w:val="32"/>
          <w:szCs w:val="32"/>
          <w:lang w:val="en-US" w:eastAsia="zh"/>
        </w:rPr>
      </w:pPr>
      <w:r>
        <w:rPr>
          <w:rFonts w:hint="eastAsia" w:ascii="仿宋_GB2312" w:hAnsi="仿宋_GB2312" w:eastAsia="仿宋_GB2312" w:cs="仿宋_GB2312"/>
          <w:color w:val="auto"/>
          <w:sz w:val="32"/>
          <w:szCs w:val="32"/>
          <w:lang w:val="en-US" w:eastAsia="zh"/>
        </w:rPr>
        <w:t>公示时间：2022年</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lang w:val="en-US" w:eastAsia="zh"/>
        </w:rPr>
        <w:t>月</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lang w:val="en-US" w:eastAsia="zh"/>
        </w:rPr>
        <w:t>日至</w:t>
      </w:r>
      <w:r>
        <w:rPr>
          <w:rFonts w:hint="eastAsia" w:ascii="仿宋_GB2312" w:hAnsi="仿宋_GB2312" w:eastAsia="仿宋_GB2312" w:cs="仿宋_GB2312"/>
          <w:color w:val="auto"/>
          <w:sz w:val="32"/>
          <w:szCs w:val="32"/>
          <w:lang w:val="en-US" w:eastAsia="zh-CN"/>
        </w:rPr>
        <w:t>9月22</w:t>
      </w:r>
      <w:bookmarkStart w:id="0" w:name="_GoBack"/>
      <w:bookmarkEnd w:id="0"/>
      <w:r>
        <w:rPr>
          <w:rFonts w:hint="eastAsia" w:ascii="仿宋_GB2312" w:hAnsi="仿宋_GB2312" w:eastAsia="仿宋_GB2312" w:cs="仿宋_GB2312"/>
          <w:color w:val="auto"/>
          <w:sz w:val="32"/>
          <w:szCs w:val="32"/>
          <w:lang w:val="en-US" w:eastAsia="zh"/>
        </w:rPr>
        <w:t>日</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联系单位：河源市生态环境保护督察整改工作领导小组办公室（河源市生态环境局）</w:t>
      </w:r>
    </w:p>
    <w:p>
      <w:pPr>
        <w:numPr>
          <w:ilvl w:val="0"/>
          <w:numId w:val="0"/>
        </w:numPr>
        <w:ind w:firstLine="640"/>
        <w:jc w:val="both"/>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
        </w:rPr>
        <w:t>联系地址：河源市源城区</w:t>
      </w:r>
      <w:r>
        <w:rPr>
          <w:rFonts w:hint="eastAsia" w:ascii="仿宋_GB2312" w:hAnsi="仿宋_GB2312" w:eastAsia="仿宋_GB2312" w:cs="仿宋_GB2312"/>
          <w:color w:val="auto"/>
          <w:sz w:val="32"/>
          <w:szCs w:val="32"/>
          <w:lang w:val="en-US" w:eastAsia="zh-CN"/>
        </w:rPr>
        <w:t>红星路118号</w:t>
      </w:r>
    </w:p>
    <w:p>
      <w:pPr>
        <w:numPr>
          <w:ilvl w:val="0"/>
          <w:numId w:val="0"/>
        </w:numPr>
        <w:ind w:firstLine="640"/>
        <w:jc w:val="both"/>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
        </w:rPr>
        <w:t>联系电话：0762-3</w:t>
      </w:r>
      <w:r>
        <w:rPr>
          <w:rFonts w:hint="eastAsia" w:ascii="仿宋_GB2312" w:hAnsi="仿宋_GB2312" w:eastAsia="仿宋_GB2312" w:cs="仿宋_GB2312"/>
          <w:color w:val="auto"/>
          <w:sz w:val="32"/>
          <w:szCs w:val="32"/>
          <w:lang w:val="en-US" w:eastAsia="zh-CN"/>
        </w:rPr>
        <w:t>887982</w:t>
      </w:r>
    </w:p>
    <w:p>
      <w:pPr>
        <w:pStyle w:val="7"/>
        <w:rPr>
          <w:rFonts w:hint="eastAsia" w:ascii="仿宋_GB2312" w:hAnsi="仿宋_GB2312" w:eastAsia="仿宋_GB2312" w:cs="仿宋_GB2312"/>
          <w:color w:val="auto"/>
          <w:sz w:val="32"/>
          <w:szCs w:val="32"/>
          <w:lang w:val="en-US" w:eastAsia="zh-CN"/>
        </w:rPr>
      </w:pPr>
    </w:p>
    <w:p>
      <w:pPr>
        <w:numPr>
          <w:ilvl w:val="0"/>
          <w:numId w:val="0"/>
        </w:numPr>
        <w:ind w:left="1590" w:leftChars="608" w:hanging="313" w:hangingChars="98"/>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lang w:val="en-US" w:eastAsia="zh"/>
        </w:rPr>
        <w:t xml:space="preserve"> </w:t>
      </w:r>
      <w:r>
        <w:rPr>
          <w:rFonts w:hint="eastAsia" w:ascii="仿宋_GB2312" w:hAnsi="仿宋_GB2312" w:eastAsia="仿宋_GB2312" w:cs="仿宋_GB2312"/>
          <w:sz w:val="32"/>
          <w:szCs w:val="32"/>
          <w:lang w:val="en-US" w:eastAsia="zh-CN"/>
        </w:rPr>
        <w:t>河源市生态环境保护督察整改</w:t>
      </w:r>
    </w:p>
    <w:p>
      <w:pPr>
        <w:numPr>
          <w:ilvl w:val="0"/>
          <w:numId w:val="0"/>
        </w:numPr>
        <w:ind w:firstLine="4480" w:firstLineChars="14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工作领导小组办公室</w:t>
      </w:r>
    </w:p>
    <w:p>
      <w:pPr>
        <w:numPr>
          <w:ilvl w:val="0"/>
          <w:numId w:val="0"/>
        </w:numPr>
        <w:ind w:firstLine="640"/>
        <w:jc w:val="both"/>
        <w:rPr>
          <w:rFonts w:hint="eastAsia" w:ascii="仿宋_GB2312" w:hAnsi="仿宋_GB2312" w:eastAsia="仿宋_GB2312" w:cs="仿宋_GB2312"/>
          <w:sz w:val="32"/>
          <w:szCs w:val="32"/>
          <w:lang w:val="en-US" w:eastAsia="zh"/>
        </w:rPr>
      </w:pPr>
      <w:r>
        <w:rPr>
          <w:rFonts w:hint="eastAsia" w:ascii="仿宋_GB2312" w:hAnsi="仿宋_GB2312" w:eastAsia="仿宋_GB2312" w:cs="仿宋_GB2312"/>
          <w:sz w:val="32"/>
          <w:szCs w:val="32"/>
          <w:lang w:val="en-US" w:eastAsia="zh"/>
        </w:rPr>
        <w:t xml:space="preserve">                          2022年</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lang w:val="en-US" w:eastAsia="zh"/>
        </w:rPr>
        <w:t>月</w:t>
      </w:r>
      <w:r>
        <w:rPr>
          <w:rFonts w:hint="eastAsia" w:ascii="仿宋_GB2312" w:hAnsi="仿宋_GB2312" w:eastAsia="仿宋_GB2312" w:cs="仿宋_GB2312"/>
          <w:sz w:val="32"/>
          <w:szCs w:val="32"/>
          <w:lang w:val="en-US" w:eastAsia="zh-CN"/>
        </w:rPr>
        <w:t>15</w:t>
      </w:r>
      <w:r>
        <w:rPr>
          <w:rFonts w:hint="eastAsia" w:ascii="仿宋_GB2312" w:hAnsi="仿宋_GB2312" w:eastAsia="仿宋_GB2312" w:cs="仿宋_GB2312"/>
          <w:sz w:val="32"/>
          <w:szCs w:val="32"/>
          <w:lang w:val="en-US" w:eastAsia="zh"/>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_GBK">
    <w:altName w:val="Arial Unicode MS"/>
    <w:panose1 w:val="03000509000000000000"/>
    <w:charset w:val="86"/>
    <w:family w:val="script"/>
    <w:pitch w:val="default"/>
    <w:sig w:usb0="00000000" w:usb1="00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07869DA"/>
    <w:rsid w:val="307869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Calibri" w:hAnsi="Calibri" w:eastAsia="宋体" w:cs="Times New Roman"/>
      <w:kern w:val="2"/>
      <w:sz w:val="21"/>
      <w:szCs w:val="22"/>
      <w:lang w:val="en-US" w:eastAsia="zh-CN" w:bidi="ar-SA"/>
    </w:rPr>
  </w:style>
  <w:style w:type="paragraph" w:styleId="3">
    <w:name w:val="heading 3"/>
    <w:basedOn w:val="1"/>
    <w:next w:val="1"/>
    <w:qFormat/>
    <w:uiPriority w:val="0"/>
    <w:pPr>
      <w:keepNext/>
      <w:keepLines/>
      <w:spacing w:line="412" w:lineRule="auto"/>
      <w:outlineLvl w:val="2"/>
    </w:pPr>
    <w:rPr>
      <w:rFonts w:ascii="Times New Roman" w:hAnsi="Times New Roman"/>
    </w:rPr>
  </w:style>
  <w:style w:type="character" w:default="1" w:styleId="6">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styleId="4">
    <w:name w:val="Normal Indent"/>
    <w:basedOn w:val="1"/>
    <w:qFormat/>
    <w:uiPriority w:val="0"/>
    <w:pPr>
      <w:ind w:firstLine="420" w:firstLineChars="200"/>
    </w:pPr>
    <w:rPr>
      <w:szCs w:val="24"/>
    </w:rPr>
  </w:style>
  <w:style w:type="paragraph" w:customStyle="1" w:styleId="7">
    <w:name w:val="_Style 5"/>
    <w:qFormat/>
    <w:uiPriority w:val="0"/>
    <w:pPr>
      <w:widowControl w:val="0"/>
      <w:ind w:firstLine="200" w:firstLineChars="200"/>
      <w:jc w:val="both"/>
    </w:pPr>
    <w:rPr>
      <w:rFonts w:ascii="Calibri" w:hAnsi="Calibri" w:eastAsia="宋体" w:cs="Times New Roman"/>
      <w:kern w:val="2"/>
      <w:sz w:val="24"/>
      <w:szCs w:val="22"/>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河源市环境保护局</Company>
  <Pages>1</Pages>
  <Words>0</Words>
  <Characters>0</Characters>
  <Lines>0</Lines>
  <Paragraphs>0</Paragraphs>
  <TotalTime>0</TotalTime>
  <ScaleCrop>false</ScaleCrop>
  <LinksUpToDate>false</LinksUpToDate>
  <CharactersWithSpaces>0</CharactersWithSpaces>
  <Application>WPS Office_11.8.2.8555_F1E327BC-269C-435d-A152-05C5408002CA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2022-09-16T01:31:00Z</dcterms:created>
  <dc:creator>天很蓝</dc:creator>
  <cp:lastModifiedBy>天很蓝</cp:lastModifiedBy>
  <dcterms:modified xsi:type="dcterms:W3CDTF">2022-09-16T01:34:50Z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2052-11.8.2.8555</vt:lpwstr>
  </property>
</Properties>
</file>