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widowControl/>
        <w:spacing w:line="600" w:lineRule="exact"/>
        <w:jc w:val="left"/>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pStyle w:val="8"/>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河源市市场监督管理局贯彻落实《河源市</w:t>
      </w:r>
    </w:p>
    <w:p>
      <w:pPr>
        <w:pStyle w:val="8"/>
        <w:widowControl/>
        <w:spacing w:line="60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强化知识产权保护推动经济高质量发展</w:t>
      </w:r>
    </w:p>
    <w:p>
      <w:pPr>
        <w:pStyle w:val="8"/>
        <w:widowControl/>
        <w:spacing w:line="600" w:lineRule="exact"/>
        <w:jc w:val="center"/>
        <w:rPr>
          <w:rFonts w:hint="eastAsia"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若干政策措施》工作指南</w:t>
      </w:r>
    </w:p>
    <w:p>
      <w:pPr>
        <w:pStyle w:val="8"/>
        <w:widowControl/>
        <w:spacing w:line="600" w:lineRule="exact"/>
        <w:jc w:val="center"/>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调整版</w:t>
      </w:r>
      <w:r>
        <w:rPr>
          <w:rFonts w:hint="eastAsia" w:ascii="仿宋_GB2312" w:hAnsi="仿宋_GB2312" w:eastAsia="仿宋_GB2312" w:cs="仿宋_GB2312"/>
          <w:bCs/>
          <w:sz w:val="32"/>
          <w:szCs w:val="32"/>
          <w:lang w:eastAsia="zh-CN"/>
        </w:rPr>
        <w:t>）</w:t>
      </w:r>
    </w:p>
    <w:p>
      <w:pPr>
        <w:pStyle w:val="8"/>
        <w:widowControl/>
        <w:spacing w:line="600" w:lineRule="exact"/>
        <w:ind w:firstLine="640" w:firstLineChars="200"/>
        <w:jc w:val="left"/>
        <w:rPr>
          <w:rFonts w:ascii="仿宋_GB2312" w:hAnsi="仿宋_GB2312" w:eastAsia="仿宋_GB2312" w:cs="仿宋_GB2312"/>
          <w:sz w:val="32"/>
          <w:szCs w:val="32"/>
          <w:lang w:bidi="ar"/>
        </w:rPr>
      </w:pP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深入贯彻落实《河源市强化知识产权保护推动经济高质量发展若干政策措施》（河府〔2020〕35号，以下简称《政策措施》），市市场监督管理局（知识产权局）对《政策措施》中涉及具体政策形成可操作的工作指南，现发布如下：</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第一条  申报程序：</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（一）市市场监督管理局（知识产权局）根据当年工作需要和市财政局批复的资金预算安排在河源市人民政府门户网站发布年度政策措施</w:t>
      </w:r>
      <w:r>
        <w:rPr>
          <w:rFonts w:hint="eastAsia" w:ascii="仿宋_GB2312" w:hAnsi="仿宋_GB2312" w:eastAsia="仿宋_GB2312" w:cs="仿宋_GB2312"/>
          <w:sz w:val="32"/>
          <w:szCs w:val="32"/>
          <w:lang w:eastAsia="zh-CN" w:bidi="ar"/>
        </w:rPr>
        <w:t>兑现</w:t>
      </w:r>
      <w:r>
        <w:rPr>
          <w:rFonts w:hint="eastAsia" w:ascii="仿宋_GB2312" w:hAnsi="仿宋_GB2312" w:eastAsia="仿宋_GB2312" w:cs="仿宋_GB2312"/>
          <w:sz w:val="32"/>
          <w:szCs w:val="32"/>
          <w:lang w:bidi="ar"/>
        </w:rPr>
        <w:t>申请指南（通知），申报指南明确具体申报方向。</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w:t>
      </w:r>
      <w:r>
        <w:rPr>
          <w:rFonts w:hint="eastAsia" w:ascii="仿宋_GB2312" w:hAnsi="仿宋_GB2312" w:eastAsia="仿宋_GB2312" w:cs="仿宋_GB2312"/>
          <w:bCs/>
          <w:sz w:val="32"/>
          <w:szCs w:val="32"/>
          <w:lang w:bidi="ar"/>
        </w:rPr>
        <w:t>申报主体按每年申报指南的要求，申请相应项目的资金支持。</w:t>
      </w:r>
      <w:r>
        <w:rPr>
          <w:rFonts w:hint="eastAsia" w:ascii="仿宋_GB2312" w:hAnsi="仿宋_GB2312" w:eastAsia="仿宋_GB2312" w:cs="仿宋_GB2312"/>
          <w:sz w:val="32"/>
          <w:szCs w:val="32"/>
          <w:lang w:bidi="ar"/>
        </w:rPr>
        <w:t>申报主体应在规定时间内报送材料，逾期不予受理。</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符合条件的申报事项，经所在县（区）市场监督管理（知识产权）部门审核推荐；市市场监督管理局（知识产权局）对申请材料进行审定，对申请材料不完善的，限期予以一次补正，未按要求补正材料的，视为形式审查不合格，不予资助或奖励。</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（四）申请项目形式审查通过后，市市场监督管理局（知识产权局）按照《河源市市场监督管理局（知识产权局）知识产权项目管理制度（试行）》的规定办理。 </w:t>
      </w:r>
    </w:p>
    <w:p>
      <w:pPr>
        <w:pStyle w:val="8"/>
        <w:widowControl/>
        <w:spacing w:line="600" w:lineRule="exact"/>
        <w:ind w:firstLine="643" w:firstLineChars="200"/>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第二条  对国内外发明专利授权、境外商标注册给予一定资助。</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专利、商标为多方共有的，由第一顺序权利人提出申请，</w:t>
      </w:r>
    </w:p>
    <w:p>
      <w:pPr>
        <w:pStyle w:val="8"/>
        <w:widowControl/>
        <w:spacing w:line="600" w:lineRule="exact"/>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第一顺序权利人地址必须在河源市行政区域内。无特别声明的，申请人相关信息均以发明专利证书、商标注册证书以及专利授权公告文本上所载信息为准。专利权授权后专利权人发生变更的，不予资助。申请资助的专利年费欠缴的，应缴纳年费后再提交资助申请。</w:t>
      </w:r>
    </w:p>
    <w:p>
      <w:pPr>
        <w:pStyle w:val="8"/>
        <w:widowControl/>
        <w:spacing w:line="600" w:lineRule="exact"/>
        <w:ind w:firstLine="643" w:firstLineChars="200"/>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bidi="ar"/>
        </w:rPr>
        <w:t>(一) 发明专利授权资助</w:t>
      </w:r>
      <w:r>
        <w:rPr>
          <w:rFonts w:hint="eastAsia" w:ascii="仿宋_GB2312" w:hAnsi="仿宋_GB2312" w:eastAsia="仿宋_GB2312" w:cs="仿宋_GB2312"/>
          <w:b/>
          <w:bCs/>
          <w:sz w:val="32"/>
          <w:szCs w:val="32"/>
          <w:lang w:eastAsia="zh-CN" w:bidi="ar"/>
        </w:rPr>
        <w:t>。</w:t>
      </w:r>
    </w:p>
    <w:p>
      <w:pPr>
        <w:pStyle w:val="8"/>
        <w:widowControl/>
        <w:spacing w:line="600" w:lineRule="exact"/>
        <w:ind w:firstLine="643" w:firstLineChars="200"/>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1.国内(包括港澳台) 发明专利授权资助。</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获得国内发明专利授权的资助其获得专利权所缴纳官方规定费用的50%，资助方式采用授权后补助形式，已获得国家知识产权局费用减缴的不再资助。国内授权发明专利缴纳官方规定费用主要包括发明专利申请费、审查费和公告费（以知识产权管理部门公布的现行收费标准计算) 。</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val="en-US" w:eastAsia="zh-CN" w:bidi="ar"/>
        </w:rPr>
        <w:t xml:space="preserve"> </w:t>
      </w:r>
      <w:r>
        <w:rPr>
          <w:rFonts w:hint="eastAsia" w:ascii="仿宋_GB2312" w:hAnsi="仿宋_GB2312" w:eastAsia="仿宋_GB2312" w:cs="仿宋_GB2312"/>
          <w:b w:val="0"/>
          <w:bCs w:val="0"/>
          <w:sz w:val="32"/>
          <w:szCs w:val="32"/>
          <w:lang w:bidi="ar"/>
        </w:rPr>
        <w:t>申请应提交下列材料:</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1</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申请表</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2</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申请主体资格材料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企事业单位提供营业执照或 单位法人证书,个人提供身份证明材料</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3）</w:t>
      </w:r>
      <w:r>
        <w:rPr>
          <w:rFonts w:hint="eastAsia" w:ascii="仿宋_GB2312" w:hAnsi="仿宋_GB2312" w:eastAsia="仿宋_GB2312" w:cs="仿宋_GB2312"/>
          <w:b w:val="0"/>
          <w:bCs w:val="0"/>
          <w:sz w:val="32"/>
          <w:szCs w:val="32"/>
          <w:lang w:bidi="ar"/>
        </w:rPr>
        <w:t>银行账号证明材料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企事业单位提供银行的相关</w:t>
      </w:r>
    </w:p>
    <w:p>
      <w:pPr>
        <w:pStyle w:val="8"/>
        <w:widowControl/>
        <w:spacing w:line="600" w:lineRule="exact"/>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bidi="ar"/>
        </w:rPr>
        <w:t>开户证明资料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个人提供以本人名字开户的存折或储蓄卡</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4</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发明专利证书和专利授权公告文本扉页</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5</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缴纳官方规定费用证明材料</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6）</w:t>
      </w:r>
      <w:r>
        <w:rPr>
          <w:rFonts w:hint="eastAsia" w:ascii="仿宋_GB2312" w:hAnsi="仿宋_GB2312" w:eastAsia="仿宋_GB2312" w:cs="仿宋_GB2312"/>
          <w:b w:val="0"/>
          <w:bCs w:val="0"/>
          <w:sz w:val="32"/>
          <w:szCs w:val="32"/>
          <w:lang w:bidi="ar"/>
        </w:rPr>
        <w:t>专利权为多方共有的，申请人须提交已经获得</w:t>
      </w:r>
      <w:r>
        <w:rPr>
          <w:rFonts w:hint="eastAsia" w:ascii="仿宋_GB2312" w:hAnsi="仿宋_GB2312" w:eastAsia="仿宋_GB2312" w:cs="仿宋_GB2312"/>
          <w:b w:val="0"/>
          <w:bCs w:val="0"/>
          <w:sz w:val="32"/>
          <w:szCs w:val="32"/>
          <w:lang w:val="en-US" w:eastAsia="zh-CN" w:bidi="ar"/>
        </w:rPr>
        <w:t>共</w:t>
      </w:r>
      <w:r>
        <w:rPr>
          <w:rFonts w:hint="eastAsia" w:ascii="仿宋_GB2312" w:hAnsi="仿宋_GB2312" w:eastAsia="仿宋_GB2312" w:cs="仿宋_GB2312"/>
          <w:b w:val="0"/>
          <w:bCs w:val="0"/>
          <w:sz w:val="32"/>
          <w:szCs w:val="32"/>
          <w:lang w:bidi="ar"/>
        </w:rPr>
        <w:t>有权利人同意其提出专利资助申请的声明（申请人签字</w:t>
      </w:r>
      <w:r>
        <w:rPr>
          <w:rFonts w:hint="eastAsia" w:ascii="仿宋_GB2312" w:hAnsi="仿宋_GB2312" w:eastAsia="仿宋_GB2312" w:cs="仿宋_GB2312"/>
          <w:b w:val="0"/>
          <w:bCs w:val="0"/>
          <w:sz w:val="32"/>
          <w:szCs w:val="32"/>
          <w:lang w:val="en-US" w:eastAsia="zh-CN" w:bidi="ar"/>
        </w:rPr>
        <w:t>盖章</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7</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未申领其它各级专利资助资金承诺书</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3" w:firstLineChars="200"/>
        <w:jc w:val="left"/>
        <w:rPr>
          <w:rFonts w:hint="eastAsia" w:ascii="仿宋_GB2312" w:hAnsi="仿宋_GB2312" w:eastAsia="仿宋_GB2312" w:cs="仿宋_GB2312"/>
          <w:b/>
          <w:bCs/>
          <w:sz w:val="32"/>
          <w:szCs w:val="32"/>
          <w:lang w:val="en-US" w:eastAsia="zh-CN" w:bidi="ar"/>
        </w:rPr>
      </w:pPr>
      <w:r>
        <w:rPr>
          <w:rFonts w:hint="eastAsia" w:ascii="仿宋_GB2312" w:hAnsi="仿宋_GB2312" w:eastAsia="仿宋_GB2312" w:cs="仿宋_GB2312"/>
          <w:b/>
          <w:bCs/>
          <w:sz w:val="32"/>
          <w:szCs w:val="32"/>
          <w:lang w:val="en-US" w:eastAsia="zh-CN" w:bidi="ar"/>
        </w:rPr>
        <w:t>2.国外专利授权资助。</w:t>
      </w:r>
      <w:bookmarkStart w:id="0" w:name="_GoBack"/>
      <w:bookmarkEnd w:id="0"/>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获国外发明专利授权的（包括通过PCT及其他途径在境外获得授权的发明专利）资助其获得专利权所缴纳官方规定费用的50%，资助方式采用授权后补助形式，每件发明专利资助不超过3个国家或地区。国外授权发明专利缴纳官方规定费用按申请费、检索费、审查费标准计算（以主要国家和地区收费标准作参考，分档计算）。</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申请应提交下列材料:</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1</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申请表</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2</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申请主体资格材料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企事业单位提供营业执照或单位法人证书</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个人提供身份证明材料</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3</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银行账号证明材料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企事业单位提供银行的相关 开户证明资料</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个人提供以本人名字开户的存折或储蓄卡</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4</w:t>
      </w:r>
      <w:r>
        <w:rPr>
          <w:rFonts w:hint="eastAsia" w:ascii="仿宋_GB2312" w:hAnsi="仿宋_GB2312" w:eastAsia="仿宋_GB2312" w:cs="仿宋_GB2312"/>
          <w:b w:val="0"/>
          <w:bCs w:val="0"/>
          <w:sz w:val="32"/>
          <w:szCs w:val="32"/>
          <w:lang w:eastAsia="zh-CN" w:bidi="ar"/>
        </w:rPr>
        <w:t>）国外专利管理部门出具的专利证书和授权公告扉页（及中文译本）。中文译文需加盖申请人公章（个人申请人签字）或翻译机构（含知识产权服务机构）公章；</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5</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缴纳官方规定费用证明材料</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6）</w:t>
      </w:r>
      <w:r>
        <w:rPr>
          <w:rFonts w:hint="eastAsia" w:ascii="仿宋_GB2312" w:hAnsi="仿宋_GB2312" w:eastAsia="仿宋_GB2312" w:cs="仿宋_GB2312"/>
          <w:b w:val="0"/>
          <w:bCs w:val="0"/>
          <w:sz w:val="32"/>
          <w:szCs w:val="32"/>
          <w:lang w:bidi="ar"/>
        </w:rPr>
        <w:t>专利权为多方共有的，申请人须提交已经获得共有权利人同意其提出专利资助申请的声明（申请人签字盖</w:t>
      </w:r>
      <w:r>
        <w:rPr>
          <w:rFonts w:hint="eastAsia" w:ascii="仿宋_GB2312" w:hAnsi="仿宋_GB2312" w:eastAsia="仿宋_GB2312" w:cs="仿宋_GB2312"/>
          <w:b w:val="0"/>
          <w:bCs w:val="0"/>
          <w:sz w:val="32"/>
          <w:szCs w:val="32"/>
          <w:lang w:val="en-US" w:eastAsia="zh-CN" w:bidi="ar"/>
        </w:rPr>
        <w:t>章</w:t>
      </w:r>
      <w:r>
        <w:rPr>
          <w:rFonts w:hint="eastAsia" w:ascii="仿宋_GB2312" w:hAnsi="仿宋_GB2312" w:eastAsia="仿宋_GB2312" w:cs="仿宋_GB2312"/>
          <w:b w:val="0"/>
          <w:bCs w:val="0"/>
          <w:sz w:val="32"/>
          <w:szCs w:val="32"/>
          <w:lang w:bidi="ar"/>
        </w:rPr>
        <w:t>）</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left"/>
        <w:rPr>
          <w:rFonts w:hint="eastAsia" w:ascii="仿宋_GB2312" w:hAnsi="仿宋_GB2312" w:eastAsia="仿宋_GB2312" w:cs="仿宋_GB2312"/>
          <w:b w:val="0"/>
          <w:bCs w:val="0"/>
          <w:sz w:val="32"/>
          <w:szCs w:val="32"/>
          <w:lang w:eastAsia="zh-CN" w:bidi="ar"/>
        </w:rPr>
      </w:pP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val="en-US" w:eastAsia="zh-CN" w:bidi="ar"/>
        </w:rPr>
        <w:t>7</w:t>
      </w:r>
      <w:r>
        <w:rPr>
          <w:rFonts w:hint="eastAsia" w:ascii="仿宋_GB2312" w:hAnsi="仿宋_GB2312" w:eastAsia="仿宋_GB2312" w:cs="仿宋_GB2312"/>
          <w:b w:val="0"/>
          <w:bCs w:val="0"/>
          <w:sz w:val="32"/>
          <w:szCs w:val="32"/>
          <w:lang w:eastAsia="zh-CN" w:bidi="ar"/>
        </w:rPr>
        <w:t>）</w:t>
      </w:r>
      <w:r>
        <w:rPr>
          <w:rFonts w:hint="eastAsia" w:ascii="仿宋_GB2312" w:hAnsi="仿宋_GB2312" w:eastAsia="仿宋_GB2312" w:cs="仿宋_GB2312"/>
          <w:b w:val="0"/>
          <w:bCs w:val="0"/>
          <w:sz w:val="32"/>
          <w:szCs w:val="32"/>
          <w:lang w:bidi="ar"/>
        </w:rPr>
        <w:t>未申领其它各级专利资助资金承诺书</w:t>
      </w:r>
      <w:r>
        <w:rPr>
          <w:rFonts w:hint="eastAsia" w:ascii="仿宋_GB2312" w:hAnsi="仿宋_GB2312" w:eastAsia="仿宋_GB2312" w:cs="仿宋_GB2312"/>
          <w:b w:val="0"/>
          <w:bCs w:val="0"/>
          <w:sz w:val="32"/>
          <w:szCs w:val="32"/>
          <w:lang w:eastAsia="zh-CN" w:bidi="ar"/>
        </w:rPr>
        <w:t>。</w:t>
      </w:r>
    </w:p>
    <w:p>
      <w:pPr>
        <w:pStyle w:val="8"/>
        <w:widowControl/>
        <w:spacing w:line="600" w:lineRule="exact"/>
        <w:ind w:firstLine="640" w:firstLineChars="200"/>
        <w:jc w:val="distribute"/>
        <w:rPr>
          <w:rFonts w:hint="eastAsia" w:ascii="仿宋_GB2312" w:hAnsi="仿宋_GB2312" w:eastAsia="仿宋_GB2312" w:cs="仿宋_GB2312"/>
          <w:b w:val="0"/>
          <w:bCs w:val="0"/>
          <w:sz w:val="32"/>
          <w:szCs w:val="32"/>
          <w:lang w:val="en-US" w:eastAsia="zh-CN" w:bidi="ar"/>
        </w:rPr>
      </w:pPr>
      <w:r>
        <w:rPr>
          <w:rFonts w:hint="eastAsia" w:ascii="仿宋_GB2312" w:hAnsi="仿宋_GB2312" w:eastAsia="仿宋_GB2312" w:cs="仿宋_GB2312"/>
          <w:b w:val="0"/>
          <w:bCs w:val="0"/>
          <w:sz w:val="32"/>
          <w:szCs w:val="32"/>
          <w:lang w:val="en-US" w:eastAsia="zh-CN" w:bidi="ar"/>
        </w:rPr>
        <w:t>3.同一单位每年获得市级专利资助资金总额不超过15万元；同一个人每年获得市级专利资助资金总额不超过5万元。</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（二）境外商标注册资助。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对在马德里体系、欧盟、非洲知识产权组织、单一国家、台港澳地区成功取得境外注册的商标，资助3000元/件，同一商标在各指定国家核准注册后不再重复资助；</w:t>
      </w:r>
      <w:r>
        <w:rPr>
          <w:rFonts w:hint="eastAsia" w:ascii="仿宋_GB2312" w:hAnsi="仿宋_GB2312" w:eastAsia="仿宋_GB2312" w:cs="仿宋_GB2312"/>
          <w:spacing w:val="8"/>
          <w:sz w:val="32"/>
          <w:szCs w:val="32"/>
          <w:shd w:val="clear" w:color="auto" w:fill="FFFFFF"/>
        </w:rPr>
        <w:t>同一申请人年度奖励总额</w:t>
      </w:r>
      <w:r>
        <w:rPr>
          <w:rFonts w:hint="eastAsia" w:ascii="仿宋_GB2312" w:hAnsi="仿宋_GB2312" w:eastAsia="仿宋_GB2312" w:cs="仿宋_GB2312"/>
          <w:sz w:val="32"/>
          <w:szCs w:val="32"/>
          <w:lang w:bidi="ar"/>
        </w:rPr>
        <w:t>不得超过9000元。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申请应提交下列材料：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，个人提供身份证明材料；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3.银行账号证明材料：企事业单位提供银行的相关开户证明资料，个人提供以本人名字开户的存折或储蓄卡；</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4.商标注册文本，非中文的商标注册文本还应提供中文翻译件；</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w:t>
      </w:r>
      <w:r>
        <w:rPr>
          <w:rFonts w:ascii="仿宋_GB2312" w:hAnsi="仿宋_GB2312" w:eastAsia="仿宋_GB2312" w:cs="仿宋_GB2312"/>
          <w:sz w:val="32"/>
          <w:szCs w:val="32"/>
          <w:lang w:bidi="ar"/>
        </w:rPr>
        <w:t>.</w:t>
      </w:r>
      <w:r>
        <w:rPr>
          <w:rFonts w:hint="eastAsia" w:ascii="仿宋_GB2312" w:hAnsi="仿宋_GB2312" w:eastAsia="仿宋_GB2312" w:cs="仿宋_GB2312"/>
          <w:sz w:val="32"/>
          <w:szCs w:val="32"/>
          <w:lang w:bidi="ar"/>
        </w:rPr>
        <w:t>未申领其它各级资助资金承诺书。</w:t>
      </w:r>
    </w:p>
    <w:p>
      <w:pPr>
        <w:pStyle w:val="8"/>
        <w:widowControl/>
        <w:spacing w:line="600" w:lineRule="exact"/>
        <w:ind w:firstLine="643" w:firstLineChars="200"/>
        <w:jc w:val="left"/>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bCs/>
          <w:sz w:val="32"/>
          <w:szCs w:val="32"/>
          <w:lang w:bidi="ar"/>
        </w:rPr>
        <w:t>（</w:t>
      </w:r>
      <w:r>
        <w:rPr>
          <w:rFonts w:hint="eastAsia" w:ascii="仿宋_GB2312" w:hAnsi="仿宋_GB2312" w:eastAsia="仿宋_GB2312" w:cs="仿宋_GB2312"/>
          <w:b/>
          <w:bCs/>
          <w:sz w:val="32"/>
          <w:szCs w:val="32"/>
          <w:lang w:val="en-US" w:eastAsia="zh-CN" w:bidi="ar"/>
        </w:rPr>
        <w:t>三</w:t>
      </w:r>
      <w:r>
        <w:rPr>
          <w:rFonts w:hint="eastAsia" w:ascii="仿宋_GB2312" w:hAnsi="仿宋_GB2312" w:eastAsia="仿宋_GB2312" w:cs="仿宋_GB2312"/>
          <w:b/>
          <w:bCs/>
          <w:sz w:val="32"/>
          <w:szCs w:val="32"/>
          <w:lang w:bidi="ar"/>
        </w:rPr>
        <w:t>）</w:t>
      </w:r>
      <w:r>
        <w:rPr>
          <w:rFonts w:hint="eastAsia" w:ascii="仿宋_GB2312" w:hAnsi="仿宋_GB2312" w:eastAsia="仿宋_GB2312" w:cs="仿宋_GB2312"/>
          <w:b w:val="0"/>
          <w:bCs w:val="0"/>
          <w:sz w:val="32"/>
          <w:szCs w:val="32"/>
          <w:lang w:bidi="ar"/>
        </w:rPr>
        <w:t>凡已享受各县（区）发明专利授权、境外商标注</w:t>
      </w:r>
    </w:p>
    <w:p>
      <w:pPr>
        <w:pStyle w:val="8"/>
        <w:widowControl/>
        <w:spacing w:line="600" w:lineRule="exact"/>
        <w:jc w:val="left"/>
        <w:rPr>
          <w:rFonts w:hint="eastAsia" w:ascii="仿宋_GB2312" w:hAnsi="仿宋_GB2312" w:eastAsia="仿宋_GB2312" w:cs="仿宋_GB2312"/>
          <w:b w:val="0"/>
          <w:bCs w:val="0"/>
          <w:sz w:val="32"/>
          <w:szCs w:val="32"/>
          <w:lang w:bidi="ar"/>
        </w:rPr>
      </w:pPr>
      <w:r>
        <w:rPr>
          <w:rFonts w:hint="eastAsia" w:ascii="仿宋_GB2312" w:hAnsi="仿宋_GB2312" w:eastAsia="仿宋_GB2312" w:cs="仿宋_GB2312"/>
          <w:b w:val="0"/>
          <w:bCs w:val="0"/>
          <w:sz w:val="32"/>
          <w:szCs w:val="32"/>
          <w:lang w:bidi="ar"/>
        </w:rPr>
        <w:t>册资助的，由各县（区）市场监督管理（知识产权）部门严格把关，提供已资助项目及金额。</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第三条 国家知识产权强县工程试点示范县（区）、国家知识产权试点示范园区资助。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一）对获评定为国家知识产权强县工程试点县（区）的试点期间每年支持工作经费10万元，通过考核验收并考核成绩优秀的（考核成绩85分以上）一次性给予20万元支持，未通过考核或通过考核成绩未达到优秀开展新一周期试点工作的不再提供工作经费； </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（二）对获评定为国家知识产权强县工程示范县（区）一次性支持30万元；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（三）对获评定为国家知识产权试点园区的试点期间每年支持工作经费5万元，通过考核验收并申报示范园区的一次性给予15万元支持；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（四）对获评定为国家知识产权示范园区的一次性支持20万元。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（五）高新区、江东新区按县（区）标准执行。</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申请应提交下列材料：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（二）国家知识产权局评定文件。</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第四条  专利奖配套奖励。奖励标准如下：</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对获得中国专利金奖或者中国外观设计金奖的单位和个人，给予每项50万元的配套奖励；对获得中国专利银奖或者中国外观设计银奖的单位和个人，给予每项20万元的配套奖励；对获得中国专利优秀奖或者中国外观设计优秀奖的单位和个人，给予每项10万元的配套奖励。</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（二）对获得广东专利金奖、银奖、优秀奖的单位，分别给予20万元、10万元、5万元的配套奖励；对获得广东杰出发明人奖的个人，给予每项5万元的奖励。</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（三）应以第一顺序专利权人（地址必须在河源市行政区域内）申请该配套奖励。</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申请应提交下列材料：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（二）获奖相关文件；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，个人提供身份证明材料；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（四）银行账号证明材料：企事业单位提供银行的相关开户证明资料，个人提供以本人名字开户的存折或储蓄卡。</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第五条  通过知识产权管理规范认证后资助。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对拥有有效专利5件以上或者有效发明专利1件以上，且当年专利申请量5件以上（发明专利不少于1件），通过《企业知识产权管理规范》(GB/T 29490-2013)《科研组织知识产权管理规范》（GB/T 33250-2016）《高等学校知识产权管理规范》（GB/T 33251-2016）国家标准认证的企业、科研组织、高等学校，给予通过“初次认证”的企事业单位补助2万元，待完成“初次认证、监督审核至再认证”首个认证周期后再补助3万元。已按河府〔2016〕16号文获得过贯标资助的，不重复进行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申请单位应同时满足以下条件：</w:t>
      </w:r>
    </w:p>
    <w:p>
      <w:pPr>
        <w:pStyle w:val="8"/>
        <w:widowControl/>
        <w:numPr>
          <w:ilvl w:val="0"/>
          <w:numId w:val="1"/>
        </w:numPr>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属于在河源市行政区域内依法登记注册的企业、科研组织、高等院校，成立时间2年以上（含2年）。</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（二）申请单位已通过《企业知识产权管理规范》《科研组织知识产权管理规范》《高等学校知识产权管理规范》认证，证书状态应为有效，认证地址应为河源市行政区域内；</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（三）申请单位之前未获得过县区级知识产权管理规范认证资助；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（四）申请单位应拥有有效专利5件以上或者有效发明专利1件以上，且申请当年专利申请量5件以上（其中发明专利不少于1件），申请单位应当为所涉专利的第一顺序专利权人。</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（三）《企业知识产权管理规范》《高等学校知识产权管理规范》《科研组织知识产权管理规范》认证证书；</w:t>
      </w:r>
    </w:p>
    <w:p>
      <w:pPr>
        <w:pStyle w:val="8"/>
        <w:widowControl/>
        <w:spacing w:line="600" w:lineRule="exact"/>
        <w:ind w:firstLine="640" w:firstLineChars="200"/>
        <w:jc w:val="distribut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（四）申报单位的专利数量证明材料，包括有效专利清单(需提供每件有效专利法律状态的证明材料)和申请年度</w:t>
      </w:r>
    </w:p>
    <w:p>
      <w:pPr>
        <w:pStyle w:val="8"/>
        <w:widowControl/>
        <w:spacing w:line="600" w:lineRule="exact"/>
        <w:jc w:val="distribute"/>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val="en-US" w:eastAsia="zh-CN" w:bidi="ar"/>
        </w:rPr>
        <w:t>的</w:t>
      </w:r>
      <w:r>
        <w:rPr>
          <w:rFonts w:hint="eastAsia" w:ascii="仿宋_GB2312" w:hAnsi="仿宋_GB2312" w:eastAsia="仿宋_GB2312" w:cs="仿宋_GB2312"/>
          <w:sz w:val="32"/>
          <w:szCs w:val="32"/>
          <w:lang w:bidi="ar"/>
        </w:rPr>
        <w:t>专利申请清单(需附每件专利申请的《受理通知书》和申</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请费缴纳凭证)；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（五）申请完成首个认证周期后补助的需提交已经完成认证周期的相关证明材料；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（七）未申领其它各级资助资金承诺书。</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凡已享受各县（区）贯标资助的，由各县（区）市场监督管理（知识产权）部门严格把关。</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第六条  知识产权示范优势企业资助。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（一）获认定为知识产权示范优势企业配套奖励资金：</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1.对新列入的“国家知识产权示范企业”一次性资助8万元；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2.对新列入的“国家知识产权优势企业”“省知识产权</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示范企业”一次性资助5万元；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3.对新列入的“省知识产权优势企业”一次性资助3万元；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4.同一年度获多项配套奖励的，以单项最高标准给予奖励。</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5.获得认定证明材料。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（二）对新列入的河源市知识产权示范企业一次性资助3万元。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河源市知识产权示范企业项目申请人应同时满足以下条件：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1.在河源市行政区域内依法登记注册、具有独立法人资格的企业，且成立时间3年以上（含3年）；</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2.知识产权管理机构健全。具有专门的知识产权管理部</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门和专职工作人员（不少于2人），建立健全的知识产权管理制度体系，把知识产权工作纳入技术创新及生产经营全过程，形成正式规章在企业内部执行；</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知识产权信息利用能力强。积极开展知识产权信息化建设，积极建设或拥有专利信息数据库，能通过对知识产权信息的利用和分析，掌握当前技术动态和发展趋势，并在相关部门合理利用知识产权信息分析结果；</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4.知识产权创造能力强。研发能力强，拥有自主知识产权产品或重要核心专利；近三年专利申请和授权总量持续增长，在市内同行业中领先，近三年无恶意非正常专利申请行</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为。商标在市场上有较高信誉和公众认知度；</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5.知识产权经济和社会效益显著。企业销售收入在市内同行业中领先，并且保持连续两年盈利，产品的技术水平、服务质量、市场占有率、品牌知名度市内同类产品前列，取得良好的社会和经济效益；</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6.知识产权投入力度大。有明确的知识产权工作经费，申请年度对知识产权工作的经费投入(含知识产权创造、管</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理、保护和运用的投入)和研发投入比上年增长；</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7.知识产权保护意识强。近三年无制造和销售假冒产品，无行政和司法程序认定的侵犯知识产权行为；</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8.知识产权工作特色鲜明。重视专利、商标等知识产权的综合运用，通过知识产权的转让、许可等途径拓宽企业知识产权的价值，知识产权工作形成特色，具有示范带动效应，有推广应用价值。</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9.己被认定为国家知识产权优势、示范企业（单位）、广东省知识产权优势、示范企业（单位）不予申报。</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5.知识产权规章制度等相关文件；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6.专利、商标等知识产权证明材料；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7.获得的与知识产权、科技、经济相关的重大荣誉证明材料；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8.知识产权工作投入相关证明材料。</w:t>
      </w:r>
    </w:p>
    <w:p>
      <w:pPr>
        <w:pStyle w:val="8"/>
        <w:widowControl/>
        <w:spacing w:line="600" w:lineRule="exact"/>
        <w:ind w:firstLine="642"/>
        <w:jc w:val="left"/>
        <w:rPr>
          <w:rFonts w:hint="eastAsia"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第七条  知识产权项目，由市市场监督管理局（知识产权局）根据当年工作需要和市财政局批复的资金预算制定具</w:t>
      </w:r>
    </w:p>
    <w:p>
      <w:pPr>
        <w:pStyle w:val="8"/>
        <w:widowControl/>
        <w:spacing w:line="600" w:lineRule="exact"/>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体的资金使用计划。</w:t>
      </w:r>
    </w:p>
    <w:p>
      <w:pPr>
        <w:pStyle w:val="8"/>
        <w:widowControl/>
        <w:spacing w:line="600" w:lineRule="exact"/>
        <w:ind w:firstLine="642"/>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w:t>
      </w:r>
      <w:r>
        <w:rPr>
          <w:rFonts w:hint="eastAsia" w:ascii="仿宋_GB2312" w:hAnsi="仿宋_GB2312" w:eastAsia="仿宋_GB2312" w:cs="仿宋_GB2312"/>
          <w:sz w:val="32"/>
          <w:szCs w:val="32"/>
        </w:rPr>
        <w:t>实施高质量专利培育工程。聚焦产业核心技术攻关，培育以企业为主体、产学研知合作的高质量专利育成中心，支持各类创新平台创造高质量专利，强化知识产权布局。支持研发创新与知识产权专业服务深度融合，推进专利标准化，给予单项最高30万元支持。</w:t>
      </w:r>
    </w:p>
    <w:p>
      <w:pPr>
        <w:pStyle w:val="8"/>
        <w:widowControl/>
        <w:spacing w:line="600" w:lineRule="exact"/>
        <w:ind w:firstLine="642"/>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 xml:space="preserve">（二）鼓励知识产权运营和转化。对开展专利技术实施计划、专利导航、知识产权交易运营、构建重点领域专利池、产业知识产权联盟建设，专利密集型产业培育、专利预警分析、专利数据库建设、知识产权战略研究、知识产权分析评议等知识产权促进项目，给予单项最高30万元支持。 </w:t>
      </w:r>
    </w:p>
    <w:p>
      <w:pPr>
        <w:pStyle w:val="8"/>
        <w:widowControl/>
        <w:spacing w:line="600" w:lineRule="exact"/>
        <w:ind w:firstLine="642"/>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加强知识产权知识宣传普及及人才培养。开展以提高全社会的知识产权意识为目标的宣传活动，增强社会公众特别是企事业单位的知识产权意识，实施知识产权意识提升项目资助；鼓励开展知识产权教育培训、宣传推广、人才培养、文化培育及软课题研究等，单个项目资助额度不超过10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（二）申请主体资格材料：企事业单位提供营业执照</w:t>
      </w:r>
      <w:r>
        <w:rPr>
          <w:rFonts w:hint="eastAsia" w:ascii="仿宋_GB2312" w:hAnsi="仿宋_GB2312" w:eastAsia="仿宋_GB2312" w:cs="仿宋_GB2312"/>
          <w:sz w:val="32"/>
          <w:szCs w:val="32"/>
        </w:rPr>
        <w:t>或单位法人证书</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（四）银行账号证明材料：提供银行的相关开户证明资</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料；</w:t>
      </w:r>
    </w:p>
    <w:p>
      <w:pPr>
        <w:pStyle w:val="8"/>
        <w:widowControl/>
        <w:spacing w:line="600" w:lineRule="exact"/>
        <w:ind w:firstLine="642"/>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（五）实施知识产权项目的相关证明材料。</w:t>
      </w:r>
    </w:p>
    <w:p>
      <w:pPr>
        <w:pStyle w:val="8"/>
        <w:widowControl/>
        <w:spacing w:line="600" w:lineRule="exact"/>
        <w:ind w:firstLine="642"/>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第八条  对新获得以“河源某某”“县区某某”命名的地理标志商标或国家地理标志产品保护给予资金扶持。资助标准按《河源市人民政府办公室关于印发河源市加快推进农业品牌创建工作方案的通知》（河府办〔2017〕35号）执行，资金来源由涉农资金统筹解决。</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2.公告文件等相关证明文件。</w:t>
      </w:r>
    </w:p>
    <w:p>
      <w:pPr>
        <w:pStyle w:val="8"/>
        <w:widowControl/>
        <w:spacing w:line="600" w:lineRule="exact"/>
        <w:ind w:firstLine="64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第九条  知识产权质押融资贷款费用资助。</w:t>
      </w:r>
    </w:p>
    <w:p>
      <w:pPr>
        <w:pStyle w:val="8"/>
        <w:widowControl/>
        <w:spacing w:line="600" w:lineRule="exact"/>
        <w:ind w:firstLine="64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（一）对通过河源市知识产权质押融资风险补偿金发生的贷款且履行了正常还贷的企业实行贷款贴息支持，按贷款利息（知识产权质押融资风险补偿金承担部分）的50%给予补贴，</w:t>
      </w:r>
      <w:r>
        <w:rPr>
          <w:rFonts w:hint="eastAsia" w:ascii="仿宋_GB2312" w:hAnsi="仿宋_GB2312" w:eastAsia="仿宋_GB2312" w:cs="仿宋_GB2312"/>
          <w:sz w:val="32"/>
          <w:szCs w:val="32"/>
        </w:rPr>
        <w:t>单笔贷款按照实际付息月数计付贴息，</w:t>
      </w:r>
      <w:r>
        <w:rPr>
          <w:rFonts w:hint="eastAsia" w:ascii="仿宋_GB2312" w:hAnsi="仿宋_GB2312" w:eastAsia="仿宋_GB2312" w:cs="仿宋_GB2312"/>
          <w:sz w:val="32"/>
          <w:szCs w:val="32"/>
          <w:lang w:bidi="ar"/>
        </w:rPr>
        <w:t>单笔贷款贴息的最高额度为20万元。</w:t>
      </w:r>
    </w:p>
    <w:p>
      <w:pPr>
        <w:pStyle w:val="8"/>
        <w:widowControl/>
        <w:spacing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（二）在知识产权质押融资获得银行贷款的情况下,对</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企业委托银行认可的评估机构进行知识产权价值评估产生的综合评估费用,以不高于综合评估费用实际发生额的原则予以资助，同一单位每年最高10万元。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（一）申请单位应为知识产权质押的出质人；</w:t>
      </w:r>
    </w:p>
    <w:p>
      <w:pPr>
        <w:pStyle w:val="8"/>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（二）申请单位利用知识产权质押获得金融机构贷款，</w:t>
      </w:r>
    </w:p>
    <w:p>
      <w:pPr>
        <w:pStyle w:val="8"/>
        <w:widowControl/>
        <w:spacing w:line="60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并完成还本付息；</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（三）依规在国家知识产权局办理了质押登记。</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（四）同一笔贷款利息、评估费用未曾获得政府（包括国家、省、市、县区）部门的财政资金补贴的。</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（二）申请主体资格材料：提供营业执照等；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w:t>
      </w:r>
      <w:r>
        <w:rPr>
          <w:rFonts w:hint="eastAsia" w:ascii="仿宋_GB2312" w:hAnsi="仿宋_GB2312" w:eastAsia="仿宋_GB2312" w:cs="仿宋_GB2312"/>
          <w:sz w:val="32"/>
          <w:szCs w:val="32"/>
        </w:rPr>
        <w:t>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（五）出质的专利、商标证书；银行贷款合同；质押登记通知书及附页；银行贷款凭证、计息单、还款凭证；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（六）申请知识产权评估费用的，还需提交以下材料：知识产权评估合同、评估费用票据；</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（七）未曾获得政府（包括国家、省、市、县区）部门的财政资金补贴承诺书。</w:t>
      </w:r>
    </w:p>
    <w:p>
      <w:pPr>
        <w:pStyle w:val="8"/>
        <w:widowControl/>
        <w:spacing w:line="600" w:lineRule="exact"/>
        <w:ind w:firstLine="64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第十条  涉外知识产权维权项目。</w:t>
      </w:r>
    </w:p>
    <w:p>
      <w:pPr>
        <w:pStyle w:val="8"/>
        <w:widowControl/>
        <w:spacing w:line="600" w:lineRule="exact"/>
        <w:ind w:firstLine="64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河源市行政区域内的单位或者个人对涉外知识产权主动维权获得胜诉或和解的项目，按照维权实际发生费用的30%给予补贴，同一单位或个人每年最高不超过20万元。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（一）申请表；</w:t>
      </w:r>
    </w:p>
    <w:p>
      <w:pPr>
        <w:pStyle w:val="8"/>
        <w:widowControl/>
        <w:spacing w:line="600" w:lineRule="exact"/>
        <w:ind w:firstLine="640"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bidi="ar"/>
        </w:rPr>
        <w:t>（二）申请主体资格材料：企事业单位提供营业执照</w:t>
      </w:r>
      <w:r>
        <w:rPr>
          <w:rFonts w:hint="eastAsia" w:ascii="仿宋_GB2312" w:hAnsi="仿宋_GB2312" w:eastAsia="仿宋_GB2312" w:cs="仿宋_GB2312"/>
          <w:sz w:val="32"/>
          <w:szCs w:val="32"/>
        </w:rPr>
        <w:t>或</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单位法人证书</w:t>
      </w:r>
      <w:r>
        <w:rPr>
          <w:rFonts w:hint="eastAsia" w:ascii="仿宋_GB2312" w:hAnsi="仿宋_GB2312" w:eastAsia="仿宋_GB2312" w:cs="仿宋_GB2312"/>
          <w:sz w:val="32"/>
          <w:szCs w:val="32"/>
          <w:lang w:bidi="ar"/>
        </w:rPr>
        <w:t>，个人提供身份证明材料；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（三）单位主要负责人、项目联系人身份证明材料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（四）银行账号证明材料：企事业单位提供银行的相关开户证明资料，个人提供以本人名字开户的存折或储蓄卡；</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（五）所涉维权证书，维权费用相关凭证；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（六）维权案件判（裁）定生效的法律文书或和解协议；</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（七）应诉举证、法律服务合同等材料；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（八）非中文材料应同时提供具有翻译资质机构出具的中文译本，国（境）外形成或取得的材料应当经所在国家公证机关公证并经中华人民共和国驻该国使领馆认证。</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第十一条  河源市知识产权教育试点、示范学校资助。</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（一）评定为市级知识产权教育试点学校的每家一次性给予1万元扶持。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试点学校申请人应同时满足以下条件：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1.属于在河源市行政区域内的高等院校、中小学校；</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2.学校主要领导分管知识产权工作，成立知识产权管理</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机构，配备知识产权专职工作人员，有知识产权管理制度和激励机制；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3.已开设知识产权课程，上年度开设知识产权课5课时/学期（每课时按照45分钟计算）且培训学生总人数达到200人以上（含200人）。</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4.积极支持并组织开展普及知识产权知识的体验教育和实践活动，积极组织教职工及学生参加市内外的发明创</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新、科技竞赛活动，激发学生创新热情。</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w:t>
      </w:r>
      <w:r>
        <w:rPr>
          <w:rFonts w:hint="eastAsia" w:ascii="仿宋_GB2312" w:hAnsi="仿宋_GB2312" w:eastAsia="仿宋_GB2312" w:cs="仿宋_GB2312"/>
          <w:sz w:val="32"/>
          <w:szCs w:val="32"/>
        </w:rPr>
        <w:t>单位法人证书</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5.知识产权管理机构、管理制度及相关文件；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6.开设知识产权课程，举办知识产权活动情况，参加各级发明创新、科技竞赛活动等的相关情况及证明材料。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（二）评定为市级知识产权教育示范学校的每家一次性给予3万元扶持。</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示范学校申请人应同时满足以下条件：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1.属于在河源市行政区域内的高等院校、中小学校；</w:t>
      </w:r>
    </w:p>
    <w:p>
      <w:pPr>
        <w:pStyle w:val="8"/>
        <w:widowControl/>
        <w:spacing w:line="600" w:lineRule="exact"/>
        <w:ind w:firstLine="640"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2.试点学校满2年以上；</w:t>
      </w:r>
    </w:p>
    <w:p>
      <w:pPr>
        <w:pStyle w:val="8"/>
        <w:widowControl/>
        <w:spacing w:line="600" w:lineRule="exact"/>
        <w:ind w:firstLine="640" w:firstLineChars="200"/>
        <w:jc w:val="both"/>
        <w:rPr>
          <w:rFonts w:hint="eastAsia"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3.学校主要领导分管知识产权工作，成立知识产权管理</w:t>
      </w:r>
    </w:p>
    <w:p>
      <w:pPr>
        <w:pStyle w:val="8"/>
        <w:widowControl/>
        <w:spacing w:line="600" w:lineRule="exact"/>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机构，配备知识产权专职工作人员，有较为完善的知识产权管理制度和激励机制，</w:t>
      </w:r>
      <w:r>
        <w:rPr>
          <w:rFonts w:hint="eastAsia" w:ascii="仿宋_GB2312" w:hAnsi="仿宋_GB2312" w:eastAsia="仿宋_GB2312" w:cs="仿宋_GB2312"/>
          <w:sz w:val="32"/>
        </w:rPr>
        <w:t>出台年度知识产权工作计划，</w:t>
      </w:r>
      <w:r>
        <w:rPr>
          <w:rFonts w:hint="eastAsia" w:ascii="仿宋_GB2312" w:hAnsi="仿宋_GB2312" w:eastAsia="仿宋_GB2312" w:cs="仿宋_GB2312"/>
          <w:sz w:val="32"/>
          <w:szCs w:val="32"/>
          <w:lang w:bidi="ar"/>
        </w:rPr>
        <w:t>有知识产权专项工作经费；</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设立有知识产权课程（专业课或公修课），上年度开设知识产权课10课时/学期（每课时按照45分钟计算）且培训学生总人数达到500人以上（含500人）。积极支持并组织开展普及知识产权知识的体验教育和实践活动，学生社会责任感、创新精神和实践能力得到提高；</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5.积极为教职工和学生进行发明创造和科学实践活动提供施展平台，鼓励和支持创新成果获得知识产权保护，开展专利申请；</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6.试点期间举办不少于4次的知识产权讲座、培训或竞赛。在校内加大知识产权知识宣传力度，师生知识产权意识不断增强。积极组织教职工及青年学生参加市内外的发明创新、科技竞赛活动，激发学生创新热情。</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w:t>
      </w:r>
      <w:r>
        <w:rPr>
          <w:rFonts w:hint="eastAsia" w:ascii="仿宋_GB2312" w:hAnsi="仿宋_GB2312" w:eastAsia="仿宋_GB2312" w:cs="仿宋_GB2312"/>
          <w:sz w:val="32"/>
          <w:szCs w:val="32"/>
        </w:rPr>
        <w:t>单位法人证书</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5.知识产权管理机构、管理制度、学校年度知识产权工作计划及相关文件；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6.开设知识产权课程，举办知识产权培训、讲座、竞赛活动情况，专利申请证明材料，参加各级发明创新、科技竞赛活动等的相关情况及证明材料。</w:t>
      </w:r>
    </w:p>
    <w:p>
      <w:pPr>
        <w:pStyle w:val="8"/>
        <w:widowControl/>
        <w:spacing w:line="600" w:lineRule="exact"/>
        <w:ind w:firstLine="643" w:firstLineChars="200"/>
        <w:jc w:val="left"/>
        <w:rPr>
          <w:rFonts w:ascii="仿宋_GB2312" w:hAnsi="仿宋_GB2312" w:eastAsia="仿宋_GB2312" w:cs="仿宋_GB2312"/>
          <w:b/>
          <w:bCs/>
          <w:sz w:val="32"/>
          <w:szCs w:val="32"/>
          <w:lang w:bidi="ar"/>
        </w:rPr>
      </w:pPr>
      <w:r>
        <w:rPr>
          <w:rFonts w:hint="eastAsia" w:ascii="仿宋_GB2312" w:hAnsi="仿宋_GB2312" w:eastAsia="仿宋_GB2312" w:cs="仿宋_GB2312"/>
          <w:b/>
          <w:bCs/>
          <w:sz w:val="32"/>
          <w:szCs w:val="32"/>
          <w:lang w:bidi="ar"/>
        </w:rPr>
        <w:t>第十二条  知识产权服务机构资助项目。</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（一）引进外地专利代理机构在我市设立分支机构，一次性资助5万元。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1.属于在河源行政区域外依法登记注册的专利代理机构，注册时间5年以上（含5年）；</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2.至少拥有10名以上（含10名）专利代理师；河源市分支机构正式员工数量达到6人以上（其中专利代理师不少于2名）；</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3.在河源市设立分支机构，申请时设立时间应满1年，上一年度专利代理申请量100件以上，且授权率达70%以上；外地机构应与其在河源设立的分支机构联合申请；</w:t>
      </w:r>
    </w:p>
    <w:p>
      <w:pPr>
        <w:adjustRightInd/>
        <w:snapToGrid/>
        <w:spacing w:after="0" w:line="600" w:lineRule="exact"/>
        <w:ind w:firstLine="640" w:firstLineChars="200"/>
        <w:jc w:val="both"/>
        <w:rPr>
          <w:rFonts w:ascii="仿宋_GB2312" w:hAnsi="仿宋_GB2312" w:eastAsia="仿宋_GB2312" w:cs="仿宋_GB2312"/>
          <w:sz w:val="32"/>
          <w:szCs w:val="32"/>
        </w:rPr>
      </w:pPr>
      <w:r>
        <w:rPr>
          <w:rFonts w:hint="eastAsia" w:ascii="仿宋_GB2312" w:hAnsi="仿宋_GB2312" w:eastAsia="仿宋_GB2312" w:cs="仿宋_GB2312"/>
          <w:sz w:val="32"/>
          <w:szCs w:val="32"/>
        </w:rPr>
        <w:t>4.拥有规范的管理制度和专利代理流程管理制度；未发现有非正常申请专利的行为，没有发生恶性服务质量投诉，面对有关投诉能够妥善处理。</w:t>
      </w:r>
    </w:p>
    <w:p>
      <w:pPr>
        <w:adjustRightInd/>
        <w:snapToGrid/>
        <w:spacing w:after="0" w:line="600" w:lineRule="exact"/>
        <w:ind w:firstLine="640" w:firstLineChars="200"/>
        <w:jc w:val="both"/>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5.河源分支机构的人员清单及相关资格材料；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6.知识产权业务相关材料，包括但不限于运营合同、知识产权服务合同、专利申请、授权证明材料等。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（二）鼓励和支持市内外社会力量在我市设立法人专利代理机构，对在我市新登记注册的法人专利代理机构一次性资助10万元。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1.属于在河源行政区域内依法登记注册、具有独立法人资格的专利代理机构；</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2.正式员工数量达到10人以上（其中专利代理师不少于2名）；</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3.申请时设立时间应满1年，上年度代理的专利代理申请量200件以上，且授权率达70%以上；</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4.拥有规范的管理制度和专利代理流程管理制度；未发现有非正常申请专利的行为，没有发生恶性服务质量投诉，面对有关投诉能够妥善处理。</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1.申请表；</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2.申请主体资格材料：提供营业执照、专利代理机构执业许可证等；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5.工作人员清单及相关资格材料；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6.知识产权业务相关材料，包括但不限于知识产权服务合同、专利申请、授权证明材料等。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（三）对我市专利代理机构新招聘的专利代理师按1万元/人的标准给予该机构资助，每家资助不超过5万元。</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申请人应同时满足以下条件：</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1.属于在河源市行政区域内依法登记注册的专利代理机构，或外地专利代理机构在河源设立的分支机构；</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2.已与新招聘专利代理师签订劳动合同，合同期限不低于2年,且已为其在河源连续缴纳社保超过6个月。</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申请应提交以下材料：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1.申请书；</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2.申请主体资格材料：提供营业执照等；</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rPr>
        <w:t>3.单位主要负责人、项目联系人身份证明材料</w:t>
      </w:r>
      <w:r>
        <w:rPr>
          <w:rFonts w:hint="eastAsia" w:ascii="仿宋_GB2312" w:hAnsi="仿宋_GB2312" w:eastAsia="仿宋_GB2312" w:cs="仿宋_GB2312"/>
          <w:sz w:val="32"/>
          <w:szCs w:val="32"/>
          <w:lang w:bidi="ar"/>
        </w:rPr>
        <w:t>；</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4.银行账号证明材料：提供银行的相关开户证明资料；</w:t>
      </w:r>
    </w:p>
    <w:p>
      <w:pPr>
        <w:pStyle w:val="8"/>
        <w:widowControl/>
        <w:spacing w:line="600" w:lineRule="exact"/>
        <w:ind w:firstLine="640"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sz w:val="32"/>
          <w:szCs w:val="32"/>
          <w:lang w:bidi="ar"/>
        </w:rPr>
        <w:t>5.新招聘专利代理师的身份证明、劳动合同、社保缴纳凭证相关资格材料。</w:t>
      </w:r>
    </w:p>
    <w:p>
      <w:pPr>
        <w:pStyle w:val="8"/>
        <w:widowControl/>
        <w:spacing w:line="600" w:lineRule="exact"/>
        <w:ind w:firstLine="643"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第十三条</w:t>
      </w:r>
      <w:r>
        <w:rPr>
          <w:rFonts w:hint="eastAsia" w:ascii="仿宋_GB2312" w:hAnsi="仿宋_GB2312" w:eastAsia="仿宋_GB2312" w:cs="仿宋_GB2312"/>
          <w:sz w:val="32"/>
          <w:szCs w:val="32"/>
          <w:lang w:bidi="ar"/>
        </w:rPr>
        <w:t xml:space="preserve">  除申请书外其他申请材料提交复印件，同时提供原件核对。</w:t>
      </w:r>
    </w:p>
    <w:p>
      <w:pPr>
        <w:pStyle w:val="8"/>
        <w:widowControl/>
        <w:spacing w:line="600" w:lineRule="exact"/>
        <w:ind w:firstLine="643" w:firstLineChars="200"/>
        <w:jc w:val="left"/>
        <w:rPr>
          <w:rFonts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第十四条</w:t>
      </w:r>
      <w:r>
        <w:rPr>
          <w:rFonts w:hint="eastAsia" w:ascii="仿宋_GB2312" w:hAnsi="仿宋_GB2312" w:eastAsia="仿宋_GB2312" w:cs="仿宋_GB2312"/>
          <w:sz w:val="32"/>
          <w:szCs w:val="32"/>
          <w:lang w:bidi="ar"/>
        </w:rPr>
        <w:t>  申请人应对提交的申请材料真实性、合法性、有效性负责。申请人利用虚假材料或其他不正当行为骗取、套取、虚报、冒领、截留、挪用专项资金或者违反其他财务纪律的，按照有关规定处理；情节严重的，依照国家相关法律、法规移交有关部门处理。</w:t>
      </w:r>
    </w:p>
    <w:p>
      <w:pPr>
        <w:pStyle w:val="8"/>
        <w:widowControl/>
        <w:spacing w:line="600" w:lineRule="exact"/>
        <w:ind w:firstLine="643" w:firstLineChars="200"/>
        <w:jc w:val="left"/>
        <w:rPr>
          <w:rFonts w:hint="eastAsia" w:ascii="仿宋_GB2312" w:hAnsi="仿宋_GB2312" w:eastAsia="仿宋_GB2312" w:cs="仿宋_GB2312"/>
          <w:sz w:val="32"/>
          <w:szCs w:val="32"/>
          <w:lang w:bidi="ar"/>
        </w:rPr>
      </w:pPr>
      <w:r>
        <w:rPr>
          <w:rFonts w:hint="eastAsia" w:ascii="仿宋_GB2312" w:hAnsi="仿宋_GB2312" w:eastAsia="仿宋_GB2312" w:cs="仿宋_GB2312"/>
          <w:b/>
          <w:bCs/>
          <w:sz w:val="32"/>
          <w:szCs w:val="32"/>
          <w:lang w:bidi="ar"/>
        </w:rPr>
        <w:t xml:space="preserve">第十五条 </w:t>
      </w:r>
      <w:r>
        <w:rPr>
          <w:rFonts w:hint="eastAsia" w:ascii="仿宋_GB2312" w:hAnsi="仿宋_GB2312" w:eastAsia="仿宋_GB2312" w:cs="仿宋_GB2312"/>
          <w:sz w:val="32"/>
          <w:szCs w:val="32"/>
          <w:lang w:bidi="ar"/>
        </w:rPr>
        <w:t> 本工作指南</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val="en-US" w:eastAsia="zh-CN" w:bidi="ar"/>
        </w:rPr>
        <w:t>调整版</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sz w:val="32"/>
          <w:szCs w:val="32"/>
          <w:lang w:bidi="ar"/>
        </w:rPr>
        <w:t>由市市场监督管理局（知识产权局）负责解释</w:t>
      </w:r>
      <w:r>
        <w:rPr>
          <w:rFonts w:hint="eastAsia" w:ascii="仿宋_GB2312" w:hAnsi="仿宋_GB2312" w:eastAsia="仿宋_GB2312" w:cs="仿宋_GB2312"/>
          <w:sz w:val="32"/>
          <w:szCs w:val="32"/>
          <w:lang w:eastAsia="zh-CN" w:bidi="ar"/>
        </w:rPr>
        <w:t>，</w:t>
      </w:r>
      <w:r>
        <w:rPr>
          <w:rFonts w:hint="eastAsia" w:ascii="仿宋_GB2312" w:hAnsi="仿宋_GB2312" w:eastAsia="仿宋_GB2312" w:cs="仿宋_GB2312"/>
          <w:color w:val="auto"/>
          <w:sz w:val="32"/>
          <w:szCs w:val="32"/>
          <w:lang w:val="en-US" w:eastAsia="zh-CN"/>
        </w:rPr>
        <w:t>自2022年6月1日开始实施，2025年6月23日失效</w:t>
      </w:r>
      <w:r>
        <w:rPr>
          <w:rFonts w:hint="eastAsia" w:ascii="仿宋_GB2312" w:hAnsi="仿宋_GB2312" w:eastAsia="仿宋_GB2312" w:cs="仿宋_GB2312"/>
          <w:sz w:val="32"/>
          <w:szCs w:val="32"/>
          <w:lang w:bidi="ar"/>
        </w:rPr>
        <w:t>。2021年1月1日起至</w:t>
      </w:r>
      <w:r>
        <w:rPr>
          <w:rFonts w:hint="eastAsia" w:ascii="仿宋_GB2312" w:hAnsi="仿宋_GB2312" w:eastAsia="仿宋_GB2312" w:cs="仿宋_GB2312"/>
          <w:sz w:val="32"/>
          <w:szCs w:val="32"/>
          <w:lang w:val="en-US" w:eastAsia="zh-CN" w:bidi="ar"/>
        </w:rPr>
        <w:t>本工作指南（调整版）</w:t>
      </w:r>
      <w:r>
        <w:rPr>
          <w:rFonts w:hint="eastAsia" w:ascii="仿宋_GB2312" w:hAnsi="仿宋_GB2312" w:eastAsia="仿宋_GB2312" w:cs="仿宋_GB2312"/>
          <w:sz w:val="32"/>
          <w:szCs w:val="32"/>
          <w:lang w:bidi="ar"/>
        </w:rPr>
        <w:t>实施之日期间符合调整后的资助条件的，可参照执行。此前有关文件的相关规定与本工作指南不一致的，以本工作指南为准。执行过程中遇到的问题，请径向市市场监督管理局（市知识产权局）反映。</w:t>
      </w:r>
    </w:p>
    <w:sectPr>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pPr>
                      <w:pStyle w:val="6"/>
                      <w:rPr>
                        <w:sz w:val="28"/>
                        <w:szCs w:val="28"/>
                      </w:rPr>
                    </w:pP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r>
                      <w:rPr>
                        <w:rFonts w:hint="eastAsia"/>
                        <w:sz w:val="28"/>
                        <w:szCs w:val="2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EEC2C95"/>
    <w:multiLevelType w:val="singleLevel"/>
    <w:tmpl w:val="5EEC2C95"/>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documentProtection w:enforcement="0"/>
  <w:defaultTabStop w:val="420"/>
  <w:drawingGridVerticalSpacing w:val="156"/>
  <w:noPunctuationKerning w:val="1"/>
  <w:characterSpacingControl w:val="compressPunctuation"/>
  <w:footnotePr>
    <w:footnote w:id="0"/>
    <w:footnote w:id="1"/>
  </w:foot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RkYjhkNGUxNzQ0MjllZjc2ODJmN2RjYTc1OWIyNGQifQ=="/>
  </w:docVars>
  <w:rsids>
    <w:rsidRoot w:val="731F4C43"/>
    <w:rsid w:val="00251E0C"/>
    <w:rsid w:val="00301F88"/>
    <w:rsid w:val="00557069"/>
    <w:rsid w:val="005C0F6A"/>
    <w:rsid w:val="007076B4"/>
    <w:rsid w:val="00845A89"/>
    <w:rsid w:val="00B350A7"/>
    <w:rsid w:val="00EA5356"/>
    <w:rsid w:val="03FF6AD7"/>
    <w:rsid w:val="080F47D9"/>
    <w:rsid w:val="0A1F67C3"/>
    <w:rsid w:val="189B7F07"/>
    <w:rsid w:val="1EE5372C"/>
    <w:rsid w:val="228D3A9D"/>
    <w:rsid w:val="244960ED"/>
    <w:rsid w:val="2DB55AFF"/>
    <w:rsid w:val="2EC9233B"/>
    <w:rsid w:val="31E5480F"/>
    <w:rsid w:val="37DA31AF"/>
    <w:rsid w:val="3E5F7EBD"/>
    <w:rsid w:val="3E9568E4"/>
    <w:rsid w:val="41131874"/>
    <w:rsid w:val="52DC4AF6"/>
    <w:rsid w:val="59ED3607"/>
    <w:rsid w:val="5C102B30"/>
    <w:rsid w:val="5C745351"/>
    <w:rsid w:val="61D479C6"/>
    <w:rsid w:val="62067C46"/>
    <w:rsid w:val="628326CE"/>
    <w:rsid w:val="67F329BE"/>
    <w:rsid w:val="6A55105B"/>
    <w:rsid w:val="6B691900"/>
    <w:rsid w:val="70C666BF"/>
    <w:rsid w:val="731F4C43"/>
    <w:rsid w:val="78D17555"/>
    <w:rsid w:val="7B530B1A"/>
    <w:rsid w:val="7E4F22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adjustRightInd w:val="0"/>
      <w:snapToGrid w:val="0"/>
      <w:spacing w:after="200"/>
    </w:pPr>
    <w:rPr>
      <w:rFonts w:ascii="Tahoma" w:hAnsi="Tahoma" w:eastAsia="宋体" w:cs="Times New Roman"/>
      <w:sz w:val="22"/>
      <w:szCs w:val="22"/>
      <w:lang w:val="en-US" w:eastAsia="zh-CN" w:bidi="ar-SA"/>
    </w:rPr>
  </w:style>
  <w:style w:type="character" w:default="1" w:styleId="12">
    <w:name w:val="Default Paragraph Font"/>
    <w:unhideWhenUsed/>
    <w:qFormat/>
    <w:uiPriority w:val="1"/>
  </w:style>
  <w:style w:type="table" w:default="1" w:styleId="11">
    <w:name w:val="Normal Table"/>
    <w:unhideWhenUsed/>
    <w:qFormat/>
    <w:uiPriority w:val="99"/>
    <w:tblPr>
      <w:tblCellMar>
        <w:top w:w="0" w:type="dxa"/>
        <w:left w:w="108" w:type="dxa"/>
        <w:bottom w:w="0" w:type="dxa"/>
        <w:right w:w="108" w:type="dxa"/>
      </w:tblCellMar>
    </w:tblPr>
  </w:style>
  <w:style w:type="paragraph" w:customStyle="1" w:styleId="2">
    <w:name w:val="_Style 5"/>
    <w:basedOn w:val="1"/>
    <w:qFormat/>
    <w:uiPriority w:val="0"/>
    <w:pPr>
      <w:ind w:firstLine="200" w:firstLineChars="200"/>
    </w:pPr>
    <w:rPr>
      <w:rFonts w:ascii="Times New Roman" w:hAnsi="Times New Roman"/>
      <w:sz w:val="24"/>
    </w:rPr>
  </w:style>
  <w:style w:type="paragraph" w:styleId="3">
    <w:name w:val="annotation text"/>
    <w:basedOn w:val="1"/>
    <w:link w:val="14"/>
    <w:qFormat/>
    <w:uiPriority w:val="0"/>
  </w:style>
  <w:style w:type="paragraph" w:styleId="4">
    <w:name w:val="Body Text Indent"/>
    <w:basedOn w:val="1"/>
    <w:qFormat/>
    <w:uiPriority w:val="0"/>
    <w:pPr>
      <w:ind w:left="420" w:leftChars="200"/>
    </w:pPr>
    <w:rPr>
      <w:rFonts w:ascii="Times New Roman" w:hAnsi="Times New Roman"/>
    </w:rPr>
  </w:style>
  <w:style w:type="paragraph" w:styleId="5">
    <w:name w:val="Balloon Text"/>
    <w:basedOn w:val="1"/>
    <w:link w:val="16"/>
    <w:qFormat/>
    <w:uiPriority w:val="0"/>
    <w:pPr>
      <w:spacing w:after="0"/>
    </w:pPr>
    <w:rPr>
      <w:sz w:val="18"/>
      <w:szCs w:val="18"/>
    </w:rPr>
  </w:style>
  <w:style w:type="paragraph" w:styleId="6">
    <w:name w:val="footer"/>
    <w:basedOn w:val="1"/>
    <w:qFormat/>
    <w:uiPriority w:val="0"/>
    <w:pPr>
      <w:tabs>
        <w:tab w:val="center" w:pos="4153"/>
        <w:tab w:val="right" w:pos="8306"/>
      </w:tabs>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jc w:val="both"/>
    </w:pPr>
    <w:rPr>
      <w:sz w:val="18"/>
    </w:rPr>
  </w:style>
  <w:style w:type="paragraph" w:styleId="8">
    <w:name w:val="Normal (Web)"/>
    <w:basedOn w:val="1"/>
    <w:qFormat/>
    <w:uiPriority w:val="0"/>
    <w:pPr>
      <w:widowControl w:val="0"/>
      <w:adjustRightInd/>
      <w:snapToGrid/>
      <w:spacing w:after="0"/>
      <w:jc w:val="both"/>
    </w:pPr>
    <w:rPr>
      <w:rFonts w:ascii="Calibri" w:hAnsi="Calibri"/>
      <w:kern w:val="2"/>
      <w:sz w:val="24"/>
      <w:szCs w:val="24"/>
    </w:rPr>
  </w:style>
  <w:style w:type="paragraph" w:styleId="9">
    <w:name w:val="annotation subject"/>
    <w:basedOn w:val="3"/>
    <w:next w:val="3"/>
    <w:link w:val="15"/>
    <w:qFormat/>
    <w:uiPriority w:val="0"/>
    <w:rPr>
      <w:b/>
      <w:bCs/>
    </w:rPr>
  </w:style>
  <w:style w:type="paragraph" w:styleId="10">
    <w:name w:val="Body Text First Indent 2"/>
    <w:basedOn w:val="4"/>
    <w:qFormat/>
    <w:uiPriority w:val="0"/>
    <w:pPr>
      <w:ind w:firstLine="420" w:firstLineChars="200"/>
    </w:pPr>
  </w:style>
  <w:style w:type="character" w:styleId="13">
    <w:name w:val="annotation reference"/>
    <w:basedOn w:val="12"/>
    <w:qFormat/>
    <w:uiPriority w:val="0"/>
    <w:rPr>
      <w:sz w:val="21"/>
      <w:szCs w:val="21"/>
    </w:rPr>
  </w:style>
  <w:style w:type="character" w:customStyle="1" w:styleId="14">
    <w:name w:val="批注文字 字符"/>
    <w:basedOn w:val="12"/>
    <w:link w:val="3"/>
    <w:qFormat/>
    <w:uiPriority w:val="0"/>
    <w:rPr>
      <w:rFonts w:ascii="Tahoma" w:hAnsi="Tahoma" w:eastAsia="宋体" w:cs="Times New Roman"/>
      <w:sz w:val="22"/>
      <w:szCs w:val="22"/>
    </w:rPr>
  </w:style>
  <w:style w:type="character" w:customStyle="1" w:styleId="15">
    <w:name w:val="批注主题 字符"/>
    <w:basedOn w:val="14"/>
    <w:link w:val="9"/>
    <w:qFormat/>
    <w:uiPriority w:val="0"/>
    <w:rPr>
      <w:rFonts w:ascii="Tahoma" w:hAnsi="Tahoma" w:eastAsia="宋体" w:cs="Times New Roman"/>
      <w:b/>
      <w:bCs/>
      <w:sz w:val="22"/>
      <w:szCs w:val="22"/>
    </w:rPr>
  </w:style>
  <w:style w:type="character" w:customStyle="1" w:styleId="16">
    <w:name w:val="批注框文本 字符"/>
    <w:basedOn w:val="12"/>
    <w:link w:val="5"/>
    <w:qFormat/>
    <w:uiPriority w:val="0"/>
    <w:rPr>
      <w:rFonts w:ascii="Tahoma" w:hAnsi="Tahoma"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河源市质监局</Company>
  <Pages>19</Pages>
  <Words>8140</Words>
  <Characters>8328</Characters>
  <Lines>64</Lines>
  <Paragraphs>18</Paragraphs>
  <TotalTime>9</TotalTime>
  <ScaleCrop>false</ScaleCrop>
  <LinksUpToDate>false</LinksUpToDate>
  <CharactersWithSpaces>8369</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2020-09-24T09:39:00Z</dcterms:created>
  <dc:creator>何虹</dc:creator>
  <cp:lastModifiedBy>hearin</cp:lastModifiedBy>
  <cp:lastPrinted>2022-05-06T00:54:55Z</cp:lastPrinted>
  <dcterms:modified xsi:type="dcterms:W3CDTF">2022-05-06T02:49:44Z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E40674C51F1D43C6BC7010BA6F19BB0A</vt:lpwstr>
  </property>
</Properties>
</file>