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Cs/>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-302260</wp:posOffset>
                </wp:positionH>
                <wp:positionV relativeFrom="paragraph">
                  <wp:posOffset>-445135</wp:posOffset>
                </wp:positionV>
                <wp:extent cx="1087120" cy="4445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087120" cy="444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6"/>
                                <w:lang w:val="en-US" w:eastAsia="zh-CN"/>
                              </w:rPr>
                            </w:pPr>
                            <w:r>
                              <w:rPr>
                                <w:rFonts w:hint="eastAsia" w:ascii="黑体" w:hAnsi="黑体" w:eastAsia="黑体" w:cs="黑体"/>
                                <w:sz w:val="32"/>
                                <w:szCs w:val="36"/>
                                <w:lang w:eastAsia="zh-CN"/>
                              </w:rPr>
                              <w:t>附件</w:t>
                            </w:r>
                            <w:r>
                              <w:rPr>
                                <w:rFonts w:hint="eastAsia" w:ascii="黑体" w:hAnsi="黑体" w:eastAsia="黑体" w:cs="黑体"/>
                                <w:sz w:val="32"/>
                                <w:szCs w:val="36"/>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pt;margin-top:-35.05pt;height:35pt;width:85.6pt;z-index:251661312;mso-width-relative:page;mso-height-relative:page;" filled="f" stroked="f" coordsize="21600,21600" o:gfxdata="UEsDBAoAAAAAAIdO4kAAAAAAAAAAAAAAAAAEAAAAZHJzL1BLAwQUAAAACACHTuJAX+U+vdoAAAAJ&#10;AQAADwAAAGRycy9kb3ducmV2LnhtbE2PzU7DMBCE70i8g7VI3Fo7AdoqjVOhSBUSgkNLL9w28TaJ&#10;Gtshdn/g6dme4LY7M5r9Nl9dbC9ONIbOOw3JVIEgV3vTuUbD7mM9WYAIEZ3B3jvS8E0BVsXtTY6Z&#10;8We3odM2NoJLXMhQQxvjkEkZ6pYshqkfyLG396PFyOvYSDPimcttL1OlZtJi5/hCiwOVLdWH7dFq&#10;eC3X77ipUrv46cuXt/3z8LX7fNL6/i5RSxCRLvEvDFd8RoeCmSp/dCaIXsPkcT7jKA9zlYC4JtIH&#10;VipWEpBFLv9/UPwCUEsDBBQAAAAIAIdO4kAUbiuJHgIAABgEAAAOAAAAZHJzL2Uyb0RvYy54bWyt&#10;U02O0zAU3iNxB8t7mrS0M9Oq6ajMqAipYkYqiLXr2E0k28/YbpNyALjBrNiw51w9B89O26mAFWLj&#10;vPh7v9/7PL1ttSI74XwNpqD9Xk6JMBzK2mwK+vHD4tUNJT4wUzIFRhR0Lzy9nb18MW3sRAygAlUK&#10;RzCJ8ZPGFrQKwU6yzPNKaOZ7YIVBUILTLOCv22SlYw1m1yob5PlV1oArrQMuvMfb+w6ks5RfSsHD&#10;g5ReBKIKir2FdLp0ruOZzaZssnHMVjU/tsH+oQvNaoNFz6nuWWBk6+o/UumaO/AgQ4+DzkDKmos0&#10;A07Tz3+bZlUxK9IsSI63Z5r8/0vL3+8eHanLgo4pMUzjig5P3w7ffx5+fCXjSE9j/QS9Vhb9QvsG&#10;Wlzz6d7jZZy6lU7HL85DEEei92dyRRsIj0H5zXV/gBBHbDgcjvLEfvYcbZ0PbwVoEo2COlxe4pTt&#10;lj5gJ+h6conFDCxqpdIClSFNQa9ej/IUcEYwQhkMjDN0vUYrtOv2ONgayj3O5aAThrd8UWPxJfPh&#10;kTlUAvaL6g4PeEgFWASOFiUVuC9/u4/+uCBEKWlQWQX1n7fMCUrUO4OrG/eHwyjF9DMcXUdO3CWy&#10;vkTMVt8BireP78jyZEb/oE6mdKA/4SOYx6oIMcOxdkHDybwLnd7xEXExnycnFJ9lYWlWlsfUHZ3z&#10;bQBZJ6YjTR03R/ZQfmkBx6cS9X35n7yeH/T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lPr3a&#10;AAAACQEAAA8AAAAAAAAAAQAgAAAAIgAAAGRycy9kb3ducmV2LnhtbFBLAQIUABQAAAAIAIdO4kAU&#10;biuJHgIAABgEAAAOAAAAAAAAAAEAIAAAACkBAABkcnMvZTJvRG9jLnhtbFBLBQYAAAAABgAGAFkB&#10;AAC5BQAAAAA=&#10;">
                <v:fill on="f" focussize="0,0"/>
                <v:stroke on="f" weight="0.5pt"/>
                <v:imagedata o:title=""/>
                <o:lock v:ext="edit" aspectratio="f"/>
                <v:textbox>
                  <w:txbxContent>
                    <w:p>
                      <w:pPr>
                        <w:rPr>
                          <w:rFonts w:hint="eastAsia" w:ascii="黑体" w:hAnsi="黑体" w:eastAsia="黑体" w:cs="黑体"/>
                          <w:sz w:val="32"/>
                          <w:szCs w:val="36"/>
                          <w:lang w:val="en-US" w:eastAsia="zh-CN"/>
                        </w:rPr>
                      </w:pPr>
                      <w:r>
                        <w:rPr>
                          <w:rFonts w:hint="eastAsia" w:ascii="黑体" w:hAnsi="黑体" w:eastAsia="黑体" w:cs="黑体"/>
                          <w:sz w:val="32"/>
                          <w:szCs w:val="36"/>
                          <w:lang w:eastAsia="zh-CN"/>
                        </w:rPr>
                        <w:t>附件</w:t>
                      </w:r>
                      <w:r>
                        <w:rPr>
                          <w:rFonts w:hint="eastAsia" w:ascii="黑体" w:hAnsi="黑体" w:eastAsia="黑体" w:cs="黑体"/>
                          <w:sz w:val="32"/>
                          <w:szCs w:val="36"/>
                          <w:lang w:val="en-US" w:eastAsia="zh-CN"/>
                        </w:rPr>
                        <w:t>3</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eastAsia="zh-CN"/>
        </w:rPr>
        <w:t>河源市受新冠肺炎疫情影响职工不能正常偿还住房公积金贷款不作逾期处理申请</w:t>
      </w:r>
      <w:r>
        <w:rPr>
          <w:rFonts w:hint="eastAsia" w:ascii="方正小标宋简体" w:hAnsi="方正小标宋简体" w:eastAsia="方正小标宋简体" w:cs="方正小标宋简体"/>
          <w:b w:val="0"/>
          <w:bCs/>
          <w:sz w:val="44"/>
          <w:szCs w:val="44"/>
        </w:rPr>
        <w:t>书</w:t>
      </w:r>
    </w:p>
    <w:bookmarkEnd w:id="0"/>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rPr>
        <w:t>，工作单位</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因受新冠肺炎疫情影响，</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感染新冠肺炎住院治疗；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sym w:font="Wingdings" w:char="00A8"/>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疫情防控隔离；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sym w:font="Wingdings" w:char="00A8"/>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参加疫情防控工作；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sym w:font="Wingdings" w:char="00A8"/>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受疫情影响且经批准缓缴；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sym w:font="Wingdings" w:char="00A8"/>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受疫情影响暂时失去收入来源，</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能按时正常偿还</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rPr>
        <w:t>月住房公积金贷款本息。特申请该时间段还款情况不作逾期处理，不作为逾期记录报送征信部门。</w:t>
      </w:r>
    </w:p>
    <w:p>
      <w:pPr>
        <w:keepNext w:val="0"/>
        <w:keepLines w:val="0"/>
        <w:pageBreakBefore w:val="0"/>
        <w:widowControl w:val="0"/>
        <w:kinsoku/>
        <w:wordWrap/>
        <w:overflowPunct/>
        <w:topLinePunct w:val="0"/>
        <w:autoSpaceDE/>
        <w:autoSpaceDN/>
        <w:bidi w:val="0"/>
        <w:adjustRightInd/>
        <w:snapToGrid w:val="0"/>
        <w:spacing w:line="64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本人</w:t>
      </w:r>
      <w:r>
        <w:rPr>
          <w:rFonts w:hint="eastAsia" w:ascii="仿宋_GB2312" w:hAnsi="仿宋_GB2312" w:eastAsia="仿宋_GB2312" w:cs="仿宋_GB2312"/>
          <w:sz w:val="32"/>
          <w:szCs w:val="32"/>
          <w:lang w:val="en-US" w:eastAsia="zh-CN"/>
        </w:rPr>
        <w:t>承诺：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在2023年1月31日前一次性足额偿还所欠贷款本息。</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b w:val="0"/>
          <w:bCs/>
          <w:i w:val="0"/>
          <w:caps w:val="0"/>
          <w:color w:val="000000" w:themeColor="text1"/>
          <w:spacing w:val="8"/>
          <w:sz w:val="32"/>
          <w:szCs w:val="32"/>
          <w:shd w:val="clear" w:fill="FFFFFF"/>
          <w:lang w:val="en-US" w:eastAsia="zh-CN"/>
          <w14:textFill>
            <w14:solidFill>
              <w14:schemeClr w14:val="tx1"/>
            </w14:solidFill>
          </w14:textFill>
        </w:rPr>
      </w:pPr>
    </w:p>
    <w:p/>
    <w:sectPr>
      <w:footerReference r:id="rId3" w:type="default"/>
      <w:pgSz w:w="11906" w:h="16838"/>
      <w:pgMar w:top="1440" w:right="1701" w:bottom="1440" w:left="1701" w:header="851"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25EC2"/>
    <w:rsid w:val="2352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河源市住房保障办</Company>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2022-06-01T10:04:00Z</dcterms:created>
  <dc:creator>Administrator</dc:creator>
  <cp:lastModifiedBy>Administrator</cp:lastModifiedBy>
  <dcterms:modified xsi:type="dcterms:W3CDTF">2022-06-01T10:04:37Z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