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/>
        <w:jc w:val="center"/>
        <w:textAlignment w:val="auto"/>
        <w:rPr>
          <w:rFonts w:hint="eastAsia" w:ascii="创艺简标宋" w:hAnsi="创艺简标宋" w:eastAsia="创艺简标宋" w:cs="创艺简标宋"/>
          <w:b w:val="0"/>
          <w:bCs w:val="0"/>
          <w:color w:val="auto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-439420</wp:posOffset>
                </wp:positionV>
                <wp:extent cx="1087120" cy="4445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6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6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7pt;margin-top:-34.6pt;height:35pt;width:85.6pt;z-index:251660288;mso-width-relative:page;mso-height-relative:page;" filled="f" stroked="f" coordsize="21600,21600" o:gfxdata="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FW4ETa&#10;AAAACAEAAA8AAAAAAAAAAQAgAAAAIgAAAGRycy9kb3ducmV2LnhtbFBLAQIUABQAAAAIAIdO4kAK&#10;A49uHgIAABg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6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6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创艺简标宋" w:hAnsi="创艺简标宋" w:eastAsia="创艺简标宋" w:cs="创艺简标宋"/>
          <w:b w:val="0"/>
          <w:bCs w:val="0"/>
          <w:color w:val="auto"/>
          <w:sz w:val="44"/>
          <w:szCs w:val="44"/>
        </w:rPr>
        <w:t>决</w:t>
      </w:r>
      <w:r>
        <w:rPr>
          <w:rFonts w:hint="eastAsia" w:ascii="创艺简标宋" w:hAnsi="创艺简标宋" w:eastAsia="创艺简标宋" w:cs="创艺简标宋"/>
          <w:b w:val="0"/>
          <w:bCs w:val="0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创艺简标宋" w:hAnsi="创艺简标宋" w:eastAsia="创艺简标宋" w:cs="创艺简标宋"/>
          <w:b w:val="0"/>
          <w:bCs w:val="0"/>
          <w:color w:val="auto"/>
          <w:sz w:val="44"/>
          <w:szCs w:val="44"/>
        </w:rPr>
        <w:t>议</w:t>
      </w:r>
      <w:r>
        <w:rPr>
          <w:rFonts w:hint="eastAsia" w:ascii="创艺简标宋" w:hAnsi="创艺简标宋" w:eastAsia="创艺简标宋" w:cs="创艺简标宋"/>
          <w:b w:val="0"/>
          <w:bCs w:val="0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创艺简标宋" w:hAnsi="创艺简标宋" w:eastAsia="创艺简标宋" w:cs="创艺简标宋"/>
          <w:b w:val="0"/>
          <w:bCs w:val="0"/>
          <w:color w:val="auto"/>
          <w:sz w:val="44"/>
          <w:szCs w:val="44"/>
        </w:rPr>
        <w:t>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/>
        <w:jc w:val="center"/>
        <w:textAlignment w:val="auto"/>
        <w:rPr>
          <w:rFonts w:hint="eastAsia" w:ascii="创艺简标宋" w:hAnsi="创艺简标宋" w:eastAsia="创艺简标宋" w:cs="创艺简标宋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本单位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单位名称）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受疫情影响导致经营困难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，拟申请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缓缴住房公积金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。于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（地点）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由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主持召开□职工大会 □职工代表大会，就申请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缓缴住房公积金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一事进行表决。表决前,本单位已将《住房公积金管理条例》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、市住房公积金管理中心《转发&lt;住房和城乡建设部 财政部 人民银行关于实施住房公积金阶段性支持政策的通知&gt;的通知》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文件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向全体职工进行了宣传，职工均已知晓。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表决内容：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缓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月至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月的住房公积金。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表决情况：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本次会议应到人数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人，实到人数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人，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实到人数占应到人数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%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经讨论和民主表决，其中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票同意，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票反对，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/>
        </w:rPr>
        <w:t>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弃权。同意票数占应到人数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%。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本次表决符合《中华人民共和国工会法》《中国工会章程》及广东省总工会、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河源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市总工会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相关规定。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表决结果：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□同意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不同意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7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单位法定代表人签名：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工会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或职代会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负责人签名：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盖章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                   工会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盖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章：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56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须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知</w:t>
      </w: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1.未成立工会的单位，需召开全体职工大会讨论。全体职工三分之二以上参加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方为有效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，职工大会决议需经全体职工过半数同意并签字确认通过。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2.已成立工会的单位，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除可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召开全体职工大会外，也可通过职工代表大会作出决议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全体职工代表三分之二以上参加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方为有效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所作出的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代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表大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会决议必须经过半数职工代表同意并签字确认通过。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以职工代表大会决议的还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需提交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职工代表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选举文件。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3.以上申请内容、表决内容和表决结果等“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”均只可勾选其中一项，多选或涂改无效。</w:t>
      </w:r>
    </w:p>
    <w:p>
      <w:pPr>
        <w:ind w:right="56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       </w:t>
      </w:r>
    </w:p>
    <w:p>
      <w:pPr>
        <w:ind w:right="560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ind w:right="560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ind w:right="560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ind w:right="560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ind w:right="560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ind w:right="560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ind w:right="560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ind w:right="560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ind w:right="560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ind w:right="560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ind w:right="6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 xml:space="preserve">      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472C0"/>
    <w:rsid w:val="6174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河源市住房保障办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2022-06-01T10:03:00Z</dcterms:created>
  <dc:creator>Administrator</dc:creator>
  <cp:lastModifiedBy>Administrator</cp:lastModifiedBy>
  <dcterms:modified xsi:type="dcterms:W3CDTF">2022-06-01T10:04:07Z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