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819" w:firstLineChars="200"/>
        <w:jc w:val="center"/>
        <w:rPr>
          <w:rFonts w:hint="eastAsia" w:ascii="宋体" w:hAnsi="宋体" w:eastAsia="宋体" w:cs="宋体"/>
          <w:b/>
          <w:bCs/>
          <w:spacing w:val="-16"/>
          <w:sz w:val="44"/>
        </w:rPr>
      </w:pPr>
      <w:bookmarkStart w:id="0" w:name="_GoBack"/>
      <w:r>
        <w:rPr>
          <w:rFonts w:hint="eastAsia" w:ascii="宋体" w:hAnsi="宋体" w:eastAsia="宋体" w:cs="宋体"/>
          <w:b/>
          <w:bCs/>
          <w:spacing w:val="-16"/>
          <w:sz w:val="44"/>
        </w:rPr>
        <w:t>20</w:t>
      </w:r>
      <w:r>
        <w:rPr>
          <w:rFonts w:hint="eastAsia" w:ascii="宋体" w:hAnsi="宋体" w:eastAsia="宋体" w:cs="宋体"/>
          <w:b/>
          <w:bCs/>
          <w:spacing w:val="-16"/>
          <w:sz w:val="44"/>
          <w:lang w:val="en-US" w:eastAsia="zh-CN"/>
        </w:rPr>
        <w:t>21</w:t>
      </w:r>
      <w:r>
        <w:rPr>
          <w:rFonts w:hint="eastAsia" w:ascii="宋体" w:hAnsi="宋体" w:eastAsia="宋体" w:cs="宋体"/>
          <w:b/>
          <w:bCs/>
          <w:spacing w:val="-16"/>
          <w:sz w:val="44"/>
        </w:rPr>
        <w:t>年</w:t>
      </w:r>
      <w:r>
        <w:rPr>
          <w:rFonts w:hint="eastAsia" w:ascii="宋体" w:hAnsi="宋体" w:eastAsia="宋体" w:cs="宋体"/>
          <w:b/>
          <w:bCs/>
          <w:spacing w:val="-16"/>
          <w:sz w:val="44"/>
          <w:lang w:eastAsia="zh-CN"/>
        </w:rPr>
        <w:t>移动通信手持机（手机）产品</w:t>
      </w:r>
      <w:r>
        <w:rPr>
          <w:rFonts w:hint="eastAsia" w:ascii="宋体" w:hAnsi="宋体" w:eastAsia="宋体" w:cs="宋体"/>
          <w:b/>
          <w:bCs/>
          <w:spacing w:val="-16"/>
          <w:sz w:val="44"/>
        </w:rPr>
        <w:t>质量监督实施细则</w:t>
      </w:r>
    </w:p>
    <w:bookmarkEnd w:id="0"/>
    <w:p>
      <w:pPr>
        <w:spacing w:line="520" w:lineRule="exact"/>
        <w:ind w:firstLine="819" w:firstLineChars="200"/>
        <w:rPr>
          <w:rFonts w:hint="eastAsia"/>
          <w:b/>
          <w:bCs/>
          <w:spacing w:val="-16"/>
          <w:sz w:val="44"/>
        </w:rPr>
      </w:pPr>
    </w:p>
    <w:p>
      <w:pPr>
        <w:spacing w:line="590" w:lineRule="exact"/>
        <w:ind w:firstLine="640" w:firstLineChars="200"/>
        <w:rPr>
          <w:rFonts w:hint="eastAsia"/>
          <w:szCs w:val="32"/>
        </w:rPr>
      </w:pPr>
      <w:r>
        <w:rPr>
          <w:rFonts w:hint="eastAsia"/>
          <w:szCs w:val="32"/>
        </w:rPr>
        <w:t>本细则由</w:t>
      </w:r>
      <w:r>
        <w:rPr>
          <w:rFonts w:hint="eastAsia"/>
          <w:szCs w:val="32"/>
          <w:lang w:eastAsia="zh-CN"/>
        </w:rPr>
        <w:t>河源市</w:t>
      </w:r>
      <w:r>
        <w:rPr>
          <w:rFonts w:hint="eastAsia"/>
          <w:szCs w:val="32"/>
        </w:rPr>
        <w:t>市场监督管理局制定，适用于</w:t>
      </w:r>
      <w:r>
        <w:rPr>
          <w:rFonts w:hint="eastAsia"/>
          <w:szCs w:val="32"/>
          <w:lang w:eastAsia="zh-CN"/>
        </w:rPr>
        <w:t>河源市</w:t>
      </w:r>
      <w:r>
        <w:rPr>
          <w:rFonts w:hint="eastAsia"/>
          <w:szCs w:val="32"/>
        </w:rPr>
        <w:t>市场监督管理局组织的</w:t>
      </w:r>
      <w:r>
        <w:rPr>
          <w:rFonts w:hint="eastAsia"/>
          <w:szCs w:val="32"/>
          <w:lang w:eastAsia="zh-CN"/>
        </w:rPr>
        <w:t>移动通信手持机（手机）产品</w:t>
      </w:r>
      <w:r>
        <w:rPr>
          <w:rFonts w:hint="eastAsia"/>
          <w:szCs w:val="32"/>
        </w:rPr>
        <w:t>质量监督抽查的抽样、检验工作。</w:t>
      </w:r>
    </w:p>
    <w:p>
      <w:pPr>
        <w:spacing w:line="590" w:lineRule="exact"/>
        <w:ind w:firstLine="640" w:firstLineChars="200"/>
        <w:rPr>
          <w:rFonts w:eastAsia="黑体" w:cs="黑体"/>
          <w:color w:val="000000"/>
          <w:szCs w:val="32"/>
        </w:rPr>
      </w:pPr>
      <w:r>
        <w:rPr>
          <w:rFonts w:hint="eastAsia" w:eastAsia="黑体" w:cs="黑体"/>
          <w:color w:val="000000"/>
          <w:szCs w:val="32"/>
        </w:rPr>
        <w:t>一、监督抽查的产品</w:t>
      </w:r>
    </w:p>
    <w:p>
      <w:pPr>
        <w:spacing w:line="590" w:lineRule="exact"/>
        <w:ind w:firstLine="640" w:firstLineChars="200"/>
        <w:rPr>
          <w:color w:val="000000"/>
          <w:szCs w:val="32"/>
        </w:rPr>
      </w:pPr>
      <w:r>
        <w:rPr>
          <w:rFonts w:hint="eastAsia" w:eastAsia="楷体_GB2312" w:cs="楷体_GB2312"/>
          <w:color w:val="000000"/>
          <w:szCs w:val="32"/>
        </w:rPr>
        <w:t>（一）抽查产品：</w:t>
      </w:r>
      <w:r>
        <w:rPr>
          <w:rFonts w:hint="eastAsia"/>
          <w:color w:val="000000"/>
          <w:szCs w:val="32"/>
        </w:rPr>
        <w:t>移动通信手持机（手机）。</w:t>
      </w:r>
    </w:p>
    <w:p>
      <w:pPr>
        <w:spacing w:line="590" w:lineRule="exact"/>
        <w:ind w:firstLine="640" w:firstLineChars="200"/>
        <w:rPr>
          <w:color w:val="000000"/>
          <w:szCs w:val="32"/>
        </w:rPr>
      </w:pPr>
      <w:r>
        <w:rPr>
          <w:rFonts w:hint="eastAsia" w:eastAsia="楷体_GB2312" w:cs="楷体_GB2312"/>
          <w:color w:val="000000"/>
          <w:szCs w:val="32"/>
        </w:rPr>
        <w:t>（二）监督总体：</w:t>
      </w:r>
      <w:r>
        <w:rPr>
          <w:rFonts w:hint="eastAsia"/>
          <w:szCs w:val="32"/>
        </w:rPr>
        <w:t>广东省生产及流通领域与抽取的样品同一标称生产者或商标、同一标准、同一型号（规格）的产品集合。</w:t>
      </w:r>
    </w:p>
    <w:p>
      <w:pPr>
        <w:spacing w:line="590" w:lineRule="exact"/>
        <w:ind w:firstLine="640" w:firstLineChars="200"/>
        <w:rPr>
          <w:rFonts w:eastAsia="黑体" w:cs="黑体"/>
          <w:szCs w:val="32"/>
        </w:rPr>
      </w:pPr>
      <w:r>
        <w:rPr>
          <w:rFonts w:hint="eastAsia" w:eastAsia="黑体" w:cs="黑体"/>
          <w:szCs w:val="32"/>
        </w:rPr>
        <w:t>二、抽样、检验程序</w:t>
      </w:r>
    </w:p>
    <w:p>
      <w:pPr>
        <w:spacing w:line="590" w:lineRule="exact"/>
        <w:ind w:firstLine="640" w:firstLineChars="200"/>
        <w:rPr>
          <w:szCs w:val="32"/>
        </w:rPr>
      </w:pPr>
      <w:r>
        <w:rPr>
          <w:rFonts w:hint="eastAsia" w:cs="仿宋_GB2312"/>
          <w:szCs w:val="32"/>
        </w:rPr>
        <w:t>（一）</w:t>
      </w:r>
      <w:r>
        <w:rPr>
          <w:rFonts w:hint="eastAsia"/>
          <w:szCs w:val="32"/>
        </w:rPr>
        <w:t>《产品质量监督抽查管理暂行办法》（国家市场监督管理总局令第18号）</w:t>
      </w:r>
    </w:p>
    <w:p>
      <w:pPr>
        <w:spacing w:line="590" w:lineRule="exact"/>
        <w:ind w:firstLine="640" w:firstLineChars="200"/>
        <w:rPr>
          <w:szCs w:val="32"/>
        </w:rPr>
      </w:pPr>
      <w:r>
        <w:rPr>
          <w:rFonts w:hint="eastAsia"/>
          <w:szCs w:val="32"/>
        </w:rPr>
        <w:t>（二）T/GDAQI 020-2020《产品质量监督抽查抽样检验技术服务规范》</w:t>
      </w:r>
    </w:p>
    <w:p>
      <w:pPr>
        <w:spacing w:line="590" w:lineRule="exact"/>
        <w:ind w:firstLine="640" w:firstLineChars="200"/>
        <w:rPr>
          <w:szCs w:val="32"/>
        </w:rPr>
      </w:pPr>
      <w:r>
        <w:rPr>
          <w:rFonts w:hint="eastAsia"/>
          <w:szCs w:val="32"/>
        </w:rPr>
        <w:t>（三）承检机构在抽样检验程序中根据实际情况及检验程序的法定性与有效性予以补充。</w:t>
      </w:r>
    </w:p>
    <w:p>
      <w:pPr>
        <w:spacing w:line="590" w:lineRule="exact"/>
        <w:ind w:firstLine="640" w:firstLineChars="200"/>
        <w:rPr>
          <w:rFonts w:hint="eastAsia" w:eastAsia="黑体" w:cs="黑体"/>
          <w:color w:val="000000"/>
          <w:szCs w:val="32"/>
        </w:rPr>
      </w:pPr>
      <w:r>
        <w:rPr>
          <w:rFonts w:hint="eastAsia" w:eastAsia="黑体" w:cs="黑体"/>
          <w:color w:val="000000"/>
          <w:szCs w:val="32"/>
        </w:rPr>
        <w:t>三、抽样方案</w:t>
      </w:r>
    </w:p>
    <w:p>
      <w:pPr>
        <w:spacing w:line="590" w:lineRule="exact"/>
        <w:ind w:firstLine="640" w:firstLineChars="200"/>
        <w:rPr>
          <w:rFonts w:eastAsia="仿宋"/>
          <w:color w:val="000000"/>
          <w:szCs w:val="32"/>
        </w:rPr>
      </w:pPr>
      <w:r>
        <w:rPr>
          <w:rFonts w:hint="eastAsia" w:eastAsia="楷体_GB2312" w:cs="楷体_GB2312"/>
          <w:color w:val="000000"/>
          <w:szCs w:val="32"/>
        </w:rPr>
        <w:t>（一）抽查数量：</w:t>
      </w:r>
      <w:r>
        <w:rPr>
          <w:rFonts w:hint="eastAsia"/>
          <w:color w:val="000000"/>
          <w:szCs w:val="32"/>
        </w:rPr>
        <w:t>每款产品抽取</w:t>
      </w:r>
      <w:r>
        <w:rPr>
          <w:color w:val="000000"/>
          <w:szCs w:val="32"/>
        </w:rPr>
        <w:t>2</w:t>
      </w:r>
      <w:r>
        <w:rPr>
          <w:rFonts w:hint="eastAsia"/>
          <w:color w:val="000000"/>
          <w:szCs w:val="32"/>
        </w:rPr>
        <w:t>组样本，第</w:t>
      </w:r>
      <w:r>
        <w:rPr>
          <w:color w:val="000000"/>
          <w:szCs w:val="32"/>
        </w:rPr>
        <w:t>1</w:t>
      </w:r>
      <w:r>
        <w:rPr>
          <w:rFonts w:hint="eastAsia"/>
          <w:color w:val="000000"/>
          <w:szCs w:val="32"/>
        </w:rPr>
        <w:t>组用于检验，第</w:t>
      </w:r>
      <w:r>
        <w:rPr>
          <w:color w:val="000000"/>
          <w:szCs w:val="32"/>
        </w:rPr>
        <w:t>2</w:t>
      </w:r>
      <w:r>
        <w:rPr>
          <w:rFonts w:hint="eastAsia"/>
          <w:color w:val="000000"/>
          <w:szCs w:val="32"/>
        </w:rPr>
        <w:t>组用于备样。每组样本需抽取样品数量如下表所示：</w:t>
      </w:r>
    </w:p>
    <w:tbl>
      <w:tblPr>
        <w:tblStyle w:val="4"/>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2721"/>
        <w:gridCol w:w="2551"/>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7" w:type="dxa"/>
            <w:noWrap w:val="0"/>
            <w:vAlign w:val="center"/>
          </w:tcPr>
          <w:p>
            <w:pPr>
              <w:adjustRightInd w:val="0"/>
              <w:snapToGrid w:val="0"/>
              <w:spacing w:line="360" w:lineRule="exact"/>
              <w:jc w:val="center"/>
              <w:rPr>
                <w:rFonts w:cs="仿宋_GB2312"/>
                <w:sz w:val="24"/>
              </w:rPr>
            </w:pPr>
            <w:r>
              <w:rPr>
                <w:rFonts w:cs="仿宋_GB2312"/>
                <w:sz w:val="24"/>
              </w:rPr>
              <w:t>序号</w:t>
            </w:r>
          </w:p>
        </w:tc>
        <w:tc>
          <w:tcPr>
            <w:tcW w:w="2721" w:type="dxa"/>
            <w:noWrap w:val="0"/>
            <w:vAlign w:val="center"/>
          </w:tcPr>
          <w:p>
            <w:pPr>
              <w:adjustRightInd w:val="0"/>
              <w:snapToGrid w:val="0"/>
              <w:spacing w:line="360" w:lineRule="exact"/>
              <w:jc w:val="center"/>
              <w:rPr>
                <w:rFonts w:cs="仿宋_GB2312"/>
                <w:sz w:val="24"/>
              </w:rPr>
            </w:pPr>
            <w:r>
              <w:rPr>
                <w:rFonts w:hint="eastAsia" w:cs="仿宋_GB2312"/>
                <w:sz w:val="24"/>
              </w:rPr>
              <w:t>产品名称</w:t>
            </w:r>
          </w:p>
        </w:tc>
        <w:tc>
          <w:tcPr>
            <w:tcW w:w="2551" w:type="dxa"/>
            <w:noWrap w:val="0"/>
            <w:vAlign w:val="center"/>
          </w:tcPr>
          <w:p>
            <w:pPr>
              <w:adjustRightInd w:val="0"/>
              <w:snapToGrid w:val="0"/>
              <w:spacing w:line="360" w:lineRule="exact"/>
              <w:jc w:val="center"/>
              <w:rPr>
                <w:rFonts w:cs="仿宋_GB2312"/>
                <w:sz w:val="24"/>
              </w:rPr>
            </w:pPr>
            <w:r>
              <w:rPr>
                <w:rFonts w:cs="仿宋_GB2312"/>
                <w:sz w:val="24"/>
              </w:rPr>
              <w:t>第</w:t>
            </w:r>
            <w:r>
              <w:rPr>
                <w:rFonts w:hint="eastAsia" w:cs="仿宋_GB2312"/>
                <w:sz w:val="24"/>
              </w:rPr>
              <w:t>1组数量</w:t>
            </w:r>
          </w:p>
        </w:tc>
        <w:tc>
          <w:tcPr>
            <w:tcW w:w="2410" w:type="dxa"/>
            <w:noWrap w:val="0"/>
            <w:vAlign w:val="top"/>
          </w:tcPr>
          <w:p>
            <w:pPr>
              <w:adjustRightInd w:val="0"/>
              <w:snapToGrid w:val="0"/>
              <w:spacing w:line="360" w:lineRule="exact"/>
              <w:jc w:val="center"/>
              <w:rPr>
                <w:rFonts w:cs="仿宋_GB2312"/>
                <w:sz w:val="24"/>
              </w:rPr>
            </w:pPr>
            <w:r>
              <w:rPr>
                <w:rFonts w:cs="仿宋_GB2312"/>
                <w:sz w:val="24"/>
              </w:rPr>
              <w:t>第</w:t>
            </w:r>
            <w:r>
              <w:rPr>
                <w:rFonts w:hint="eastAsia" w:cs="仿宋_GB2312"/>
                <w:sz w:val="24"/>
              </w:rPr>
              <w:t>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7" w:type="dxa"/>
            <w:noWrap w:val="0"/>
            <w:vAlign w:val="center"/>
          </w:tcPr>
          <w:p>
            <w:pPr>
              <w:adjustRightInd w:val="0"/>
              <w:snapToGrid w:val="0"/>
              <w:spacing w:line="360" w:lineRule="exact"/>
              <w:jc w:val="center"/>
              <w:rPr>
                <w:rFonts w:cs="仿宋_GB2312"/>
                <w:sz w:val="24"/>
              </w:rPr>
            </w:pPr>
            <w:r>
              <w:rPr>
                <w:rFonts w:cs="仿宋_GB2312"/>
                <w:sz w:val="24"/>
              </w:rPr>
              <w:t>1</w:t>
            </w:r>
          </w:p>
        </w:tc>
        <w:tc>
          <w:tcPr>
            <w:tcW w:w="2721" w:type="dxa"/>
            <w:noWrap w:val="0"/>
            <w:vAlign w:val="center"/>
          </w:tcPr>
          <w:p>
            <w:pPr>
              <w:adjustRightInd w:val="0"/>
              <w:snapToGrid w:val="0"/>
              <w:spacing w:line="360" w:lineRule="exact"/>
              <w:jc w:val="center"/>
              <w:rPr>
                <w:rFonts w:cs="仿宋_GB2312"/>
                <w:sz w:val="24"/>
              </w:rPr>
            </w:pPr>
            <w:r>
              <w:rPr>
                <w:rFonts w:cs="仿宋_GB2312"/>
                <w:sz w:val="24"/>
              </w:rPr>
              <w:t>移动通信手持机（手机）</w:t>
            </w:r>
          </w:p>
        </w:tc>
        <w:tc>
          <w:tcPr>
            <w:tcW w:w="2551" w:type="dxa"/>
            <w:noWrap w:val="0"/>
            <w:vAlign w:val="center"/>
          </w:tcPr>
          <w:p>
            <w:pPr>
              <w:adjustRightInd w:val="0"/>
              <w:snapToGrid w:val="0"/>
              <w:spacing w:line="360" w:lineRule="exact"/>
              <w:jc w:val="center"/>
              <w:rPr>
                <w:rFonts w:cs="仿宋_GB2312"/>
                <w:sz w:val="24"/>
              </w:rPr>
            </w:pPr>
            <w:r>
              <w:rPr>
                <w:rFonts w:cs="仿宋_GB2312"/>
                <w:sz w:val="24"/>
              </w:rPr>
              <w:t>2</w:t>
            </w:r>
            <w:r>
              <w:rPr>
                <w:rFonts w:hint="eastAsia" w:cs="仿宋_GB2312"/>
                <w:sz w:val="24"/>
              </w:rPr>
              <w:t>套</w:t>
            </w:r>
          </w:p>
        </w:tc>
        <w:tc>
          <w:tcPr>
            <w:tcW w:w="2410" w:type="dxa"/>
            <w:noWrap w:val="0"/>
            <w:vAlign w:val="center"/>
          </w:tcPr>
          <w:p>
            <w:pPr>
              <w:adjustRightInd w:val="0"/>
              <w:snapToGrid w:val="0"/>
              <w:spacing w:line="360" w:lineRule="exact"/>
              <w:jc w:val="center"/>
              <w:rPr>
                <w:rFonts w:cs="仿宋_GB2312"/>
                <w:sz w:val="24"/>
              </w:rPr>
            </w:pPr>
            <w:r>
              <w:rPr>
                <w:rFonts w:cs="仿宋_GB2312"/>
                <w:sz w:val="24"/>
              </w:rPr>
              <w:t>1</w:t>
            </w:r>
            <w:r>
              <w:rPr>
                <w:rFonts w:hint="eastAsia" w:cs="仿宋_GB2312"/>
                <w:sz w:val="24"/>
              </w:rPr>
              <w:t>套</w:t>
            </w:r>
          </w:p>
        </w:tc>
      </w:tr>
    </w:tbl>
    <w:p>
      <w:pPr>
        <w:pStyle w:val="6"/>
        <w:numPr>
          <w:ilvl w:val="0"/>
          <w:numId w:val="0"/>
        </w:numPr>
        <w:tabs>
          <w:tab w:val="left" w:pos="360"/>
          <w:tab w:val="left" w:pos="605"/>
        </w:tabs>
        <w:spacing w:before="0" w:beforeLines="0" w:after="0" w:afterLines="0" w:line="590" w:lineRule="exact"/>
        <w:ind w:firstLine="640" w:firstLineChars="200"/>
        <w:outlineLvl w:val="9"/>
        <w:rPr>
          <w:rFonts w:ascii="Times New Roman" w:hAnsi="Times New Roman"/>
          <w:sz w:val="32"/>
          <w:szCs w:val="32"/>
        </w:rPr>
      </w:pPr>
      <w:r>
        <w:rPr>
          <w:rFonts w:hint="eastAsia" w:ascii="Times New Roman" w:hAnsi="Times New Roman" w:eastAsia="楷体_GB2312" w:cs="楷体_GB2312"/>
          <w:color w:val="000000"/>
          <w:sz w:val="32"/>
          <w:szCs w:val="32"/>
        </w:rPr>
        <w:t>（二）抽样方法。</w:t>
      </w:r>
      <w:r>
        <w:rPr>
          <w:rFonts w:hint="eastAsia" w:ascii="Times New Roman" w:hAnsi="Times New Roman" w:eastAsia="仿宋_GB2312" w:cs="仿宋_GB2312"/>
          <w:color w:val="000000"/>
          <w:sz w:val="32"/>
          <w:szCs w:val="32"/>
        </w:rPr>
        <w:t>确定</w:t>
      </w:r>
      <w:r>
        <w:rPr>
          <w:rFonts w:hint="eastAsia" w:ascii="Times New Roman" w:hAnsi="Times New Roman" w:eastAsia="仿宋_GB2312" w:cs="仿宋_GB2312"/>
          <w:sz w:val="32"/>
          <w:szCs w:val="32"/>
        </w:rPr>
        <w:t>被抽样对象</w:t>
      </w:r>
      <w:r>
        <w:rPr>
          <w:rFonts w:hint="eastAsia" w:ascii="Times New Roman" w:hAnsi="Times New Roman" w:eastAsia="仿宋_GB2312" w:cs="仿宋_GB2312"/>
          <w:color w:val="000000"/>
          <w:sz w:val="32"/>
          <w:szCs w:val="32"/>
        </w:rPr>
        <w:t>应符合</w:t>
      </w:r>
      <w:r>
        <w:rPr>
          <w:rFonts w:ascii="Times New Roman" w:hAnsi="Times New Roman" w:eastAsia="仿宋_GB2312" w:cs="仿宋_GB2312"/>
          <w:color w:val="000000"/>
          <w:sz w:val="32"/>
          <w:szCs w:val="32"/>
        </w:rPr>
        <w:t>T/GDAQI 020-2020《产品质量监督抽查抽样检验技术服务规</w:t>
      </w:r>
      <w:r>
        <w:rPr>
          <w:rFonts w:hint="eastAsia" w:ascii="Times New Roman" w:hAnsi="Times New Roman" w:eastAsia="仿宋_GB2312" w:cs="仿宋_GB2312"/>
          <w:color w:val="000000"/>
          <w:sz w:val="32"/>
          <w:szCs w:val="32"/>
        </w:rPr>
        <w:t>范》5</w:t>
      </w:r>
      <w:r>
        <w:rPr>
          <w:rFonts w:ascii="Times New Roman" w:hAnsi="Times New Roman" w:eastAsia="仿宋_GB2312" w:cs="仿宋_GB2312"/>
          <w:color w:val="000000"/>
          <w:sz w:val="32"/>
          <w:szCs w:val="32"/>
        </w:rPr>
        <w:t>.3.3.3</w:t>
      </w:r>
      <w:r>
        <w:rPr>
          <w:rFonts w:hint="eastAsia" w:ascii="Times New Roman" w:hAnsi="Times New Roman" w:eastAsia="仿宋_GB2312" w:cs="仿宋_GB2312"/>
          <w:color w:val="000000"/>
          <w:sz w:val="32"/>
          <w:szCs w:val="32"/>
        </w:rPr>
        <w:t>和第6章抽样的相关要求。</w:t>
      </w:r>
    </w:p>
    <w:p>
      <w:pPr>
        <w:spacing w:line="590" w:lineRule="exact"/>
        <w:ind w:firstLine="640" w:firstLineChars="200"/>
        <w:rPr>
          <w:rFonts w:eastAsia="黑体" w:cs="黑体"/>
          <w:color w:val="000000"/>
          <w:szCs w:val="32"/>
        </w:rPr>
      </w:pPr>
      <w:r>
        <w:rPr>
          <w:rFonts w:hint="eastAsia" w:eastAsia="黑体" w:cs="黑体"/>
          <w:color w:val="000000"/>
          <w:szCs w:val="32"/>
        </w:rPr>
        <w:t>四、检验依据</w:t>
      </w:r>
    </w:p>
    <w:p>
      <w:pPr>
        <w:spacing w:line="590" w:lineRule="exact"/>
        <w:ind w:firstLine="640" w:firstLineChars="200"/>
        <w:rPr>
          <w:rFonts w:eastAsia="楷体"/>
          <w:kern w:val="0"/>
          <w:szCs w:val="32"/>
        </w:rPr>
      </w:pPr>
      <w:r>
        <w:rPr>
          <w:rFonts w:hint="eastAsia" w:eastAsia="楷体"/>
          <w:kern w:val="0"/>
          <w:szCs w:val="32"/>
        </w:rPr>
        <w:t>（一）产品标准。</w:t>
      </w:r>
    </w:p>
    <w:p>
      <w:pPr>
        <w:spacing w:line="590" w:lineRule="exact"/>
        <w:ind w:firstLine="640" w:firstLineChars="200"/>
        <w:rPr>
          <w:rFonts w:hint="eastAsia" w:cs="仿宋_GB2312"/>
          <w:kern w:val="0"/>
          <w:szCs w:val="32"/>
        </w:rPr>
      </w:pPr>
      <w:r>
        <w:rPr>
          <w:rFonts w:hint="eastAsia" w:cs="仿宋_GB2312"/>
          <w:kern w:val="0"/>
          <w:szCs w:val="32"/>
        </w:rPr>
        <w:t>1. 强制性标准:</w:t>
      </w:r>
    </w:p>
    <w:p>
      <w:pPr>
        <w:spacing w:line="590" w:lineRule="exact"/>
        <w:ind w:firstLine="640" w:firstLineChars="200"/>
        <w:jc w:val="left"/>
        <w:rPr>
          <w:rFonts w:hint="eastAsia" w:cs="仿宋_GB2312"/>
          <w:szCs w:val="32"/>
        </w:rPr>
      </w:pPr>
      <w:r>
        <w:rPr>
          <w:rFonts w:hint="eastAsia" w:cs="仿宋_GB2312"/>
          <w:szCs w:val="32"/>
        </w:rPr>
        <w:t>GB 4943.1-2011《信息技术设备安全第1 部分：通用要求》</w:t>
      </w:r>
    </w:p>
    <w:p>
      <w:pPr>
        <w:spacing w:line="590" w:lineRule="exact"/>
        <w:ind w:firstLine="640" w:firstLineChars="200"/>
        <w:rPr>
          <w:rFonts w:hint="eastAsia" w:cs="仿宋_GB2312"/>
          <w:szCs w:val="32"/>
        </w:rPr>
      </w:pPr>
      <w:r>
        <w:rPr>
          <w:rFonts w:hint="eastAsia" w:cs="仿宋_GB2312"/>
          <w:szCs w:val="32"/>
        </w:rPr>
        <w:t>GB 20943-2013《单路输出式交流-直流和交流-交流外部电源能效限定值及节能评价值》</w:t>
      </w:r>
    </w:p>
    <w:p>
      <w:pPr>
        <w:spacing w:line="590" w:lineRule="exact"/>
        <w:ind w:firstLine="640" w:firstLineChars="200"/>
        <w:rPr>
          <w:rFonts w:hint="eastAsia" w:cs="仿宋_GB2312"/>
          <w:color w:val="000000"/>
          <w:szCs w:val="32"/>
        </w:rPr>
      </w:pPr>
      <w:r>
        <w:rPr>
          <w:rFonts w:hint="eastAsia" w:cs="仿宋_GB2312"/>
          <w:kern w:val="0"/>
          <w:szCs w:val="32"/>
        </w:rPr>
        <w:t>2. 推荐性标准：</w:t>
      </w:r>
    </w:p>
    <w:p>
      <w:pPr>
        <w:spacing w:line="590" w:lineRule="exact"/>
        <w:ind w:firstLine="640" w:firstLineChars="200"/>
        <w:jc w:val="left"/>
        <w:rPr>
          <w:szCs w:val="32"/>
        </w:rPr>
      </w:pPr>
      <w:r>
        <w:rPr>
          <w:rFonts w:hint="eastAsia" w:cs="仿宋_GB2312"/>
          <w:szCs w:val="32"/>
        </w:rPr>
        <w:t>GB/T 22450.1-2008《900/1800 MHz TDMA数字蜂窝移动通信系统电磁兼容性限值和测量方</w:t>
      </w:r>
      <w:r>
        <w:rPr>
          <w:szCs w:val="32"/>
        </w:rPr>
        <w:t>法第1部分：移动台及其辅助设备》</w:t>
      </w:r>
    </w:p>
    <w:p>
      <w:pPr>
        <w:spacing w:line="590" w:lineRule="exact"/>
        <w:ind w:firstLine="640" w:firstLineChars="200"/>
        <w:jc w:val="left"/>
        <w:rPr>
          <w:szCs w:val="32"/>
        </w:rPr>
      </w:pPr>
      <w:r>
        <w:rPr>
          <w:szCs w:val="32"/>
        </w:rPr>
        <w:t>GB/T 19484.1-2013《800MHz/2GHz cdma2000数字蜂窝移动通信系统的电磁兼容性要求和测量方法第1部分:用户设备及其辅助设备》</w:t>
      </w:r>
    </w:p>
    <w:p>
      <w:pPr>
        <w:spacing w:line="590" w:lineRule="exact"/>
        <w:ind w:firstLine="640" w:firstLineChars="200"/>
        <w:jc w:val="left"/>
        <w:rPr>
          <w:szCs w:val="32"/>
        </w:rPr>
      </w:pPr>
      <w:r>
        <w:rPr>
          <w:szCs w:val="32"/>
        </w:rPr>
        <w:t>YD/T 1592.1-2012《2GHz TD-SCDMA数字蜂窝移动通信系统电磁兼容性要求和测量方法第1部分：用户设备及其辅助设备》</w:t>
      </w:r>
    </w:p>
    <w:p>
      <w:pPr>
        <w:spacing w:line="590" w:lineRule="exact"/>
        <w:ind w:firstLine="640" w:firstLineChars="200"/>
        <w:jc w:val="left"/>
        <w:rPr>
          <w:szCs w:val="32"/>
        </w:rPr>
      </w:pPr>
      <w:r>
        <w:rPr>
          <w:szCs w:val="32"/>
        </w:rPr>
        <w:t>YD/T 1595.1-2012《2GHz WCDMA数字蜂窝移动通信系统的电磁兼容性要求和测量方法第1部分：用户设备及其辅助设备》</w:t>
      </w:r>
    </w:p>
    <w:p>
      <w:pPr>
        <w:spacing w:line="590" w:lineRule="exact"/>
        <w:ind w:firstLine="640" w:firstLineChars="200"/>
        <w:jc w:val="left"/>
        <w:rPr>
          <w:szCs w:val="32"/>
        </w:rPr>
      </w:pPr>
      <w:r>
        <w:rPr>
          <w:szCs w:val="32"/>
        </w:rPr>
        <w:t>YD/T 2583.14-2013《蜂窝式移动通信设备电磁兼容性能要求和测量方法第14部分：LTE用户设备及其辅助设备》</w:t>
      </w:r>
    </w:p>
    <w:p>
      <w:pPr>
        <w:spacing w:line="590" w:lineRule="exact"/>
        <w:ind w:firstLine="640" w:firstLineChars="200"/>
        <w:rPr>
          <w:rFonts w:eastAsia="黑体" w:cs="黑体"/>
          <w:color w:val="000000"/>
          <w:szCs w:val="32"/>
        </w:rPr>
      </w:pPr>
      <w:r>
        <w:rPr>
          <w:rFonts w:hint="eastAsia" w:eastAsia="楷体_GB2312" w:cs="楷体_GB2312"/>
          <w:color w:val="000000"/>
          <w:szCs w:val="32"/>
        </w:rPr>
        <w:t>（二）涉及本类产品质量判定相关法律法规、国家有关规定。</w:t>
      </w:r>
      <w:r>
        <w:rPr>
          <w:rFonts w:hint="eastAsia"/>
          <w:color w:val="000000"/>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p>
    <w:p>
      <w:pPr>
        <w:spacing w:line="590" w:lineRule="exact"/>
        <w:ind w:firstLine="640" w:firstLineChars="200"/>
        <w:rPr>
          <w:rFonts w:eastAsia="黑体" w:cs="黑体"/>
          <w:color w:val="000000"/>
        </w:rPr>
      </w:pPr>
      <w:r>
        <w:rPr>
          <w:rFonts w:hint="eastAsia" w:eastAsia="黑体" w:cs="黑体"/>
          <w:color w:val="000000"/>
        </w:rPr>
        <w:t>五、主要检验项目及不合格类别的划分指标</w:t>
      </w:r>
    </w:p>
    <w:p>
      <w:pPr>
        <w:spacing w:line="590" w:lineRule="exact"/>
        <w:ind w:firstLine="640" w:firstLineChars="200"/>
        <w:rPr>
          <w:rFonts w:eastAsia="仿宋"/>
          <w:color w:val="000000"/>
          <w:szCs w:val="32"/>
        </w:rPr>
      </w:pPr>
      <w:r>
        <w:rPr>
          <w:rFonts w:hint="eastAsia"/>
          <w:szCs w:val="32"/>
        </w:rPr>
        <w:t>1.</w:t>
      </w:r>
      <w:r>
        <w:rPr>
          <w:szCs w:val="32"/>
        </w:rPr>
        <w:t xml:space="preserve"> </w:t>
      </w:r>
      <w:r>
        <w:rPr>
          <w:rFonts w:hint="eastAsia"/>
          <w:szCs w:val="32"/>
        </w:rPr>
        <w:t>移动通信手持机（手机）、其他移动通信设备</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1"/>
        <w:gridCol w:w="3560"/>
        <w:gridCol w:w="688"/>
        <w:gridCol w:w="708"/>
        <w:gridCol w:w="851"/>
        <w:gridCol w:w="709"/>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序号</w:t>
            </w:r>
          </w:p>
        </w:tc>
        <w:tc>
          <w:tcPr>
            <w:tcW w:w="1701"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检验项目</w:t>
            </w:r>
          </w:p>
        </w:tc>
        <w:tc>
          <w:tcPr>
            <w:tcW w:w="35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依据法律法规或标准</w:t>
            </w:r>
          </w:p>
        </w:tc>
        <w:tc>
          <w:tcPr>
            <w:tcW w:w="688"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强制性</w:t>
            </w:r>
          </w:p>
        </w:tc>
        <w:tc>
          <w:tcPr>
            <w:tcW w:w="708"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非强制性</w:t>
            </w:r>
          </w:p>
        </w:tc>
        <w:tc>
          <w:tcPr>
            <w:tcW w:w="851"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重要项</w:t>
            </w:r>
          </w:p>
        </w:tc>
        <w:tc>
          <w:tcPr>
            <w:tcW w:w="70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较重要项</w:t>
            </w:r>
          </w:p>
        </w:tc>
        <w:tc>
          <w:tcPr>
            <w:tcW w:w="73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adjustRightInd w:val="0"/>
              <w:snapToGrid w:val="0"/>
              <w:spacing w:line="360" w:lineRule="exact"/>
              <w:jc w:val="center"/>
              <w:rPr>
                <w:rFonts w:cs="仿宋_GB2312"/>
                <w:sz w:val="24"/>
              </w:rPr>
            </w:pPr>
            <w:r>
              <w:rPr>
                <w:rFonts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标记和说明</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GB 4943.1条款1.7</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2</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电气绝缘</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GB 4943.1条款2.9</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3</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电气间隙、爬电距离</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 4943.1条款2.10.1-2.10.4</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4</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导体的端接</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 4943.1条款3.1.9</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5</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直插式设备</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 4943.1条款4.3.6</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6</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耐异常热</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 4943.1条款4.5.5</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7</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接触电流和保护导体电流</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 4943.1条款5.1</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8</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抗电强度</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 4943.1条款5.2</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5"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9</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辐射杂散骚扰</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GB/T 22450.1-2008条款7.3</w:t>
            </w:r>
          </w:p>
          <w:p>
            <w:pPr>
              <w:adjustRightInd w:val="0"/>
              <w:snapToGrid w:val="0"/>
              <w:spacing w:line="360" w:lineRule="exact"/>
              <w:jc w:val="left"/>
              <w:rPr>
                <w:rFonts w:cs="仿宋_GB2312"/>
                <w:sz w:val="24"/>
              </w:rPr>
            </w:pPr>
            <w:r>
              <w:rPr>
                <w:rFonts w:cs="仿宋_GB2312"/>
                <w:sz w:val="24"/>
              </w:rPr>
              <w:t>GB/T 19484.1-2013条款8.2</w:t>
            </w:r>
          </w:p>
          <w:p>
            <w:pPr>
              <w:adjustRightInd w:val="0"/>
              <w:snapToGrid w:val="0"/>
              <w:spacing w:line="360" w:lineRule="exact"/>
              <w:jc w:val="left"/>
              <w:rPr>
                <w:rFonts w:cs="仿宋_GB2312"/>
                <w:sz w:val="24"/>
              </w:rPr>
            </w:pPr>
            <w:r>
              <w:rPr>
                <w:rFonts w:cs="仿宋_GB2312"/>
                <w:sz w:val="24"/>
              </w:rPr>
              <w:t>YD/T 1592.1-2012条款8.2</w:t>
            </w:r>
          </w:p>
          <w:p>
            <w:pPr>
              <w:adjustRightInd w:val="0"/>
              <w:snapToGrid w:val="0"/>
              <w:spacing w:line="360" w:lineRule="exact"/>
              <w:jc w:val="left"/>
              <w:rPr>
                <w:rFonts w:cs="仿宋_GB2312"/>
                <w:sz w:val="24"/>
              </w:rPr>
            </w:pPr>
            <w:r>
              <w:rPr>
                <w:rFonts w:cs="仿宋_GB2312"/>
                <w:sz w:val="24"/>
              </w:rPr>
              <w:t>YD/T 1595.1-2012条款8.2</w:t>
            </w:r>
          </w:p>
          <w:p>
            <w:pPr>
              <w:adjustRightInd w:val="0"/>
              <w:snapToGrid w:val="0"/>
              <w:spacing w:line="360" w:lineRule="exact"/>
              <w:jc w:val="left"/>
              <w:rPr>
                <w:rFonts w:cs="仿宋_GB2312"/>
                <w:sz w:val="24"/>
              </w:rPr>
            </w:pPr>
            <w:r>
              <w:rPr>
                <w:rFonts w:cs="仿宋_GB2312"/>
                <w:sz w:val="24"/>
              </w:rPr>
              <w:t>YD/T 2583.14-2013 条款8.1</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10</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hint="eastAsia" w:cs="仿宋_GB2312"/>
                <w:sz w:val="24"/>
              </w:rPr>
              <w:t>电源端子传导连续骚扰</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GB/T 22450.1-2008 条款7.5、7.6、7.7</w:t>
            </w:r>
          </w:p>
          <w:p>
            <w:pPr>
              <w:adjustRightInd w:val="0"/>
              <w:snapToGrid w:val="0"/>
              <w:spacing w:line="360" w:lineRule="exact"/>
              <w:jc w:val="left"/>
              <w:rPr>
                <w:rFonts w:cs="仿宋_GB2312"/>
                <w:sz w:val="24"/>
              </w:rPr>
            </w:pPr>
            <w:r>
              <w:rPr>
                <w:rFonts w:cs="仿宋_GB2312"/>
                <w:sz w:val="24"/>
              </w:rPr>
              <w:t>GB/T 19484.1-2013 条款8.4、8.5、8.6</w:t>
            </w:r>
          </w:p>
          <w:p>
            <w:pPr>
              <w:adjustRightInd w:val="0"/>
              <w:snapToGrid w:val="0"/>
              <w:spacing w:line="360" w:lineRule="exact"/>
              <w:jc w:val="left"/>
              <w:rPr>
                <w:rFonts w:cs="仿宋_GB2312"/>
                <w:sz w:val="24"/>
              </w:rPr>
            </w:pPr>
            <w:r>
              <w:rPr>
                <w:rFonts w:cs="仿宋_GB2312"/>
                <w:sz w:val="24"/>
              </w:rPr>
              <w:t>YD/T 1592.1-2012条款8.4、8.5、8.6</w:t>
            </w:r>
          </w:p>
          <w:p>
            <w:pPr>
              <w:adjustRightInd w:val="0"/>
              <w:snapToGrid w:val="0"/>
              <w:spacing w:line="360" w:lineRule="exact"/>
              <w:jc w:val="left"/>
              <w:rPr>
                <w:rFonts w:cs="仿宋_GB2312"/>
                <w:sz w:val="24"/>
              </w:rPr>
            </w:pPr>
            <w:r>
              <w:rPr>
                <w:rFonts w:cs="仿宋_GB2312"/>
                <w:sz w:val="24"/>
              </w:rPr>
              <w:t>YD/T 1595.1-2012条款8.4、8.5、8.6</w:t>
            </w:r>
          </w:p>
          <w:p>
            <w:pPr>
              <w:adjustRightInd w:val="0"/>
              <w:snapToGrid w:val="0"/>
              <w:spacing w:line="360" w:lineRule="exact"/>
              <w:jc w:val="left"/>
              <w:rPr>
                <w:rFonts w:cs="仿宋_GB2312"/>
                <w:sz w:val="24"/>
              </w:rPr>
            </w:pPr>
            <w:r>
              <w:rPr>
                <w:rFonts w:cs="仿宋_GB2312"/>
                <w:sz w:val="24"/>
              </w:rPr>
              <w:t>YD/T 2583.14-2013 条款8.3、8.4、8.5</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11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辐射连续骚扰</w:t>
            </w:r>
          </w:p>
        </w:tc>
        <w:tc>
          <w:tcPr>
            <w:tcW w:w="35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cs="仿宋_GB2312"/>
                <w:sz w:val="24"/>
              </w:rPr>
              <w:t>GB/T 22450.1-2008条款7.4</w:t>
            </w:r>
          </w:p>
          <w:p>
            <w:pPr>
              <w:adjustRightInd w:val="0"/>
              <w:snapToGrid w:val="0"/>
              <w:spacing w:line="360" w:lineRule="exact"/>
              <w:jc w:val="left"/>
              <w:rPr>
                <w:rFonts w:cs="仿宋_GB2312"/>
                <w:sz w:val="24"/>
              </w:rPr>
            </w:pPr>
            <w:r>
              <w:rPr>
                <w:rFonts w:cs="仿宋_GB2312"/>
                <w:sz w:val="24"/>
              </w:rPr>
              <w:t>GB/T 19484.1-2013条款8.3</w:t>
            </w:r>
          </w:p>
          <w:p>
            <w:pPr>
              <w:adjustRightInd w:val="0"/>
              <w:snapToGrid w:val="0"/>
              <w:spacing w:line="360" w:lineRule="exact"/>
              <w:jc w:val="left"/>
              <w:rPr>
                <w:rFonts w:cs="仿宋_GB2312"/>
                <w:sz w:val="24"/>
              </w:rPr>
            </w:pPr>
            <w:r>
              <w:rPr>
                <w:rFonts w:cs="仿宋_GB2312"/>
                <w:sz w:val="24"/>
              </w:rPr>
              <w:t>YD/T 1592.1-2012条款8.3</w:t>
            </w:r>
          </w:p>
          <w:p>
            <w:pPr>
              <w:adjustRightInd w:val="0"/>
              <w:snapToGrid w:val="0"/>
              <w:spacing w:line="360" w:lineRule="exact"/>
              <w:jc w:val="left"/>
              <w:rPr>
                <w:rFonts w:cs="仿宋_GB2312"/>
                <w:sz w:val="24"/>
              </w:rPr>
            </w:pPr>
            <w:r>
              <w:rPr>
                <w:rFonts w:cs="仿宋_GB2312"/>
                <w:sz w:val="24"/>
              </w:rPr>
              <w:t>YD/T 1595.1-2012条款8.3</w:t>
            </w:r>
          </w:p>
          <w:p>
            <w:pPr>
              <w:adjustRightInd w:val="0"/>
              <w:snapToGrid w:val="0"/>
              <w:spacing w:line="360" w:lineRule="exact"/>
              <w:jc w:val="left"/>
              <w:rPr>
                <w:rFonts w:cs="仿宋_GB2312"/>
                <w:sz w:val="24"/>
              </w:rPr>
            </w:pPr>
            <w:r>
              <w:rPr>
                <w:rFonts w:cs="仿宋_GB2312"/>
                <w:sz w:val="24"/>
              </w:rPr>
              <w:t>YD/T 2583.14-2013 条款8.2</w:t>
            </w:r>
          </w:p>
        </w:tc>
        <w:tc>
          <w:tcPr>
            <w:tcW w:w="6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r>
              <w:rPr>
                <w:rFonts w:cs="仿宋_GB2312"/>
                <w:sz w:val="24"/>
              </w:rPr>
              <w:t>●</w:t>
            </w:r>
          </w:p>
        </w:tc>
        <w:tc>
          <w:tcPr>
            <w:tcW w:w="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8" w:hRule="atLeas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cs="仿宋_GB2312"/>
                <w:sz w:val="24"/>
              </w:rPr>
            </w:pPr>
            <w:r>
              <w:rPr>
                <w:rFonts w:hint="eastAsia" w:cs="仿宋_GB2312"/>
                <w:sz w:val="24"/>
              </w:rPr>
              <w:t>备注：对于9、10、11这三个检验项目，依照如下原则选择判定标准，如果被测设备支持GSM制式，则选择一个频段测试，采用GSM制式的判定标准；否则选择产品标称制式的一个频段测试，并采用产品标称对应的判定标准。</w:t>
            </w:r>
          </w:p>
        </w:tc>
      </w:tr>
    </w:tbl>
    <w:p>
      <w:pPr>
        <w:spacing w:line="590" w:lineRule="exact"/>
        <w:ind w:firstLine="640" w:firstLineChars="200"/>
        <w:rPr>
          <w:rFonts w:hint="eastAsia" w:eastAsia="黑体" w:cs="黑体"/>
          <w:szCs w:val="32"/>
        </w:rPr>
      </w:pPr>
      <w:r>
        <w:rPr>
          <w:rFonts w:hint="eastAsia" w:eastAsia="黑体" w:cs="黑体"/>
          <w:szCs w:val="32"/>
        </w:rPr>
        <w:t>六、本细则未明确的监督抽查抽样检验相关技术规范，均按照《产品质量监督抽查管理暂行办法》（国家市场监督管理总局第18号令）、《产品质量监督抽查抽样检验技术服务规范》（T/GDAQI 020-2020）规定执行。</w:t>
      </w:r>
    </w:p>
    <w:p>
      <w:pPr>
        <w:spacing w:line="590" w:lineRule="exact"/>
        <w:ind w:firstLine="640" w:firstLineChars="200"/>
        <w:rPr>
          <w:rFonts w:hint="eastAsia" w:cs="仿宋_GB2312"/>
          <w:szCs w:val="32"/>
        </w:rPr>
      </w:pPr>
      <w:r>
        <w:rPr>
          <w:rFonts w:hint="eastAsia" w:cs="仿宋_GB2312"/>
          <w:szCs w:val="32"/>
        </w:rPr>
        <w:t>被抽样生产者、销售者对检验结论有异议的，应提出书面复检申请并阐明理由，向</w:t>
      </w:r>
      <w:r>
        <w:rPr>
          <w:rFonts w:hint="eastAsia" w:cs="仿宋_GB2312"/>
          <w:szCs w:val="32"/>
          <w:lang w:eastAsia="zh-CN"/>
        </w:rPr>
        <w:t>河源市</w:t>
      </w:r>
      <w:r>
        <w:rPr>
          <w:rFonts w:hint="eastAsia" w:cs="仿宋_GB2312"/>
          <w:szCs w:val="32"/>
        </w:rPr>
        <w:t>市场监督管理局提出，由</w:t>
      </w:r>
      <w:r>
        <w:rPr>
          <w:rFonts w:hint="eastAsia" w:cs="仿宋_GB2312"/>
          <w:szCs w:val="32"/>
          <w:lang w:eastAsia="zh-CN"/>
        </w:rPr>
        <w:t>河源市</w:t>
      </w:r>
      <w:r>
        <w:rPr>
          <w:rFonts w:hint="eastAsia" w:cs="仿宋_GB2312"/>
          <w:szCs w:val="32"/>
        </w:rPr>
        <w:t>市场监督管理局依法依规处理。</w:t>
      </w:r>
    </w:p>
    <w:p>
      <w:pPr>
        <w:spacing w:line="590" w:lineRule="exact"/>
        <w:ind w:firstLine="640" w:firstLineChars="200"/>
        <w:rPr>
          <w:rFonts w:hint="eastAsia" w:cs="仿宋_GB2312"/>
          <w:szCs w:val="32"/>
        </w:rPr>
      </w:pPr>
    </w:p>
    <w:p>
      <w:pPr>
        <w:spacing w:line="590" w:lineRule="exact"/>
        <w:ind w:firstLine="640" w:firstLineChars="200"/>
        <w:rPr>
          <w:rFonts w:hint="eastAsia" w:cs="仿宋_GB231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A2025"/>
    <w:multiLevelType w:val="multilevel"/>
    <w:tmpl w:val="6CEA2025"/>
    <w:lvl w:ilvl="0" w:tentative="0">
      <w:start w:val="1"/>
      <w:numFmt w:val="none"/>
      <w:suff w:val="nothing"/>
      <w:lvlText w:val="%1"/>
      <w:lvlJc w:val="left"/>
      <w:pPr>
        <w:ind w:left="148" w:firstLine="0"/>
      </w:pPr>
      <w:rPr>
        <w:rFonts w:hint="default" w:ascii="Times New Roman" w:hAnsi="Times New Roman"/>
        <w:b/>
        <w:i w:val="0"/>
        <w:sz w:val="21"/>
      </w:rPr>
    </w:lvl>
    <w:lvl w:ilvl="1" w:tentative="0">
      <w:start w:val="1"/>
      <w:numFmt w:val="decimal"/>
      <w:suff w:val="nothing"/>
      <w:lvlText w:val="%1%2　"/>
      <w:lvlJc w:val="left"/>
      <w:pPr>
        <w:ind w:left="1708" w:firstLine="0"/>
      </w:pPr>
      <w:rPr>
        <w:rFonts w:hint="eastAsia" w:ascii="黑体" w:hAnsi="Times New Roman" w:eastAsia="黑体"/>
        <w:b w:val="0"/>
        <w:i w:val="0"/>
        <w:sz w:val="21"/>
      </w:rPr>
    </w:lvl>
    <w:lvl w:ilvl="2" w:tentative="0">
      <w:start w:val="1"/>
      <w:numFmt w:val="decimal"/>
      <w:pStyle w:val="7"/>
      <w:suff w:val="nothing"/>
      <w:lvlText w:val="%1%2.%3　"/>
      <w:lvlJc w:val="left"/>
      <w:pPr>
        <w:ind w:left="716" w:firstLine="0"/>
      </w:pPr>
      <w:rPr>
        <w:rFonts w:hint="eastAsia" w:ascii="黑体" w:hAnsi="Times New Roman" w:eastAsia="黑体" w:cs="Times New Roman"/>
        <w:b w:val="0"/>
      </w:rPr>
    </w:lvl>
    <w:lvl w:ilvl="3" w:tentative="0">
      <w:start w:val="1"/>
      <w:numFmt w:val="decimal"/>
      <w:isLgl/>
      <w:suff w:val="nothing"/>
      <w:lvlText w:val="%2%1.%3.%4　"/>
      <w:lvlJc w:val="left"/>
      <w:pPr>
        <w:ind w:left="2269" w:firstLine="0"/>
      </w:pPr>
      <w:rPr>
        <w:rFonts w:hint="eastAsia" w:ascii="黑体" w:hAnsi="Times New Roman" w:eastAsia="黑体"/>
        <w:b w:val="0"/>
        <w:i w:val="0"/>
        <w:sz w:val="21"/>
      </w:rPr>
    </w:lvl>
    <w:lvl w:ilvl="4" w:tentative="0">
      <w:start w:val="1"/>
      <w:numFmt w:val="decimal"/>
      <w:suff w:val="nothing"/>
      <w:lvlText w:val="%1%2.%3.%4.%5　"/>
      <w:lvlJc w:val="left"/>
      <w:pPr>
        <w:ind w:left="1141" w:firstLine="0"/>
      </w:pPr>
      <w:rPr>
        <w:rFonts w:hint="eastAsia" w:ascii="黑体" w:hAnsi="Times New Roman" w:eastAsia="黑体"/>
        <w:b w:val="0"/>
        <w:i w:val="0"/>
        <w:sz w:val="21"/>
      </w:rPr>
    </w:lvl>
    <w:lvl w:ilvl="5" w:tentative="0">
      <w:start w:val="1"/>
      <w:numFmt w:val="decimal"/>
      <w:suff w:val="nothing"/>
      <w:lvlText w:val="%1%2.%3.%4.%5.%6　"/>
      <w:lvlJc w:val="left"/>
      <w:pPr>
        <w:ind w:left="148" w:firstLine="0"/>
      </w:pPr>
      <w:rPr>
        <w:rFonts w:hint="eastAsia" w:ascii="黑体" w:hAnsi="Times New Roman" w:eastAsia="黑体"/>
        <w:b w:val="0"/>
        <w:i w:val="0"/>
        <w:sz w:val="21"/>
      </w:rPr>
    </w:lvl>
    <w:lvl w:ilvl="6" w:tentative="0">
      <w:start w:val="1"/>
      <w:numFmt w:val="decimal"/>
      <w:suff w:val="nothing"/>
      <w:lvlText w:val="%1%2.%3.%4.%5.%6.%7　"/>
      <w:lvlJc w:val="left"/>
      <w:pPr>
        <w:ind w:left="148" w:firstLine="0"/>
      </w:pPr>
      <w:rPr>
        <w:rFonts w:hint="eastAsia" w:ascii="黑体" w:hAnsi="Times New Roman" w:eastAsia="黑体"/>
        <w:b w:val="0"/>
        <w:i w:val="0"/>
        <w:sz w:val="21"/>
      </w:rPr>
    </w:lvl>
    <w:lvl w:ilvl="7" w:tentative="0">
      <w:start w:val="1"/>
      <w:numFmt w:val="decimal"/>
      <w:lvlText w:val="%1.%2.%3.%4.%5.%6.%7.%8"/>
      <w:lvlJc w:val="left"/>
      <w:pPr>
        <w:tabs>
          <w:tab w:val="left" w:pos="4499"/>
        </w:tabs>
        <w:ind w:left="4117" w:hanging="1418"/>
      </w:pPr>
      <w:rPr>
        <w:rFonts w:hint="eastAsia"/>
      </w:rPr>
    </w:lvl>
    <w:lvl w:ilvl="8" w:tentative="0">
      <w:start w:val="1"/>
      <w:numFmt w:val="decimal"/>
      <w:lvlText w:val="%1.%2.%3.%4.%5.%6.%7.%8.%9"/>
      <w:lvlJc w:val="left"/>
      <w:pPr>
        <w:tabs>
          <w:tab w:val="left" w:pos="4925"/>
        </w:tabs>
        <w:ind w:left="4825"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C2DFE"/>
    <w:rsid w:val="27782C95"/>
    <w:rsid w:val="2AEC2D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二级条标题"/>
    <w:basedOn w:val="7"/>
    <w:next w:val="8"/>
    <w:qFormat/>
    <w:uiPriority w:val="0"/>
    <w:pPr>
      <w:spacing w:before="50" w:after="50"/>
      <w:outlineLvl w:val="3"/>
    </w:pPr>
  </w:style>
  <w:style w:type="paragraph" w:customStyle="1" w:styleId="7">
    <w:name w:val="一级条标题"/>
    <w:next w:val="8"/>
    <w:qFormat/>
    <w:uiPriority w:val="0"/>
    <w:pPr>
      <w:numPr>
        <w:ilvl w:val="2"/>
        <w:numId w:val="1"/>
      </w:numPr>
      <w:spacing w:beforeLines="50" w:afterLines="50"/>
      <w:outlineLvl w:val="2"/>
    </w:pPr>
    <w:rPr>
      <w:rFonts w:ascii="黑体" w:hAnsi="Calibri" w:eastAsia="黑体" w:cs="Times New Roman"/>
      <w:sz w:val="21"/>
      <w:szCs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2021-07-29T07:02:00Z</dcterms:created>
  <dc:creator>我心飞翔</dc:creator>
  <cp:lastModifiedBy>黄婷</cp:lastModifiedBy>
  <cp:lastPrinted>2021-07-29T07:05:00Z</cp:lastPrinted>
  <dcterms:modified xsi:type="dcterms:W3CDTF">2021-08-12T09:13:51Z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237C2B580A324491AEE052A93F5C44D2</vt:lpwstr>
  </property>
</Properties>
</file>