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60" w:lineRule="exact"/>
        <w:jc w:val="center"/>
        <w:rPr>
          <w:rFonts w:hint="eastAsia" w:ascii="宋体" w:hAnsi="宋体" w:eastAsia="宋体" w:cs="宋体"/>
          <w:b/>
          <w:bCs w:val="0"/>
          <w:color w:val="000000"/>
          <w:sz w:val="44"/>
          <w:szCs w:val="44"/>
        </w:rPr>
      </w:pPr>
      <w:r>
        <w:rPr>
          <w:rFonts w:hint="eastAsia" w:ascii="宋体" w:hAnsi="宋体" w:eastAsia="宋体" w:cs="宋体"/>
          <w:b/>
          <w:bCs w:val="0"/>
          <w:color w:val="000000"/>
          <w:sz w:val="44"/>
          <w:szCs w:val="44"/>
          <w:lang w:val="en-US" w:eastAsia="zh-CN"/>
        </w:rPr>
        <w:t>202</w:t>
      </w:r>
      <w:r>
        <w:rPr>
          <w:rFonts w:hint="eastAsia" w:ascii="宋体" w:hAnsi="宋体" w:cs="宋体"/>
          <w:b/>
          <w:bCs w:val="0"/>
          <w:color w:val="000000"/>
          <w:sz w:val="44"/>
          <w:szCs w:val="44"/>
          <w:lang w:val="en-US" w:eastAsia="zh-CN"/>
        </w:rPr>
        <w:t>1年</w:t>
      </w:r>
      <w:r>
        <w:rPr>
          <w:rFonts w:hint="eastAsia" w:ascii="宋体" w:hAnsi="宋体" w:cs="宋体"/>
          <w:b/>
          <w:bCs w:val="0"/>
          <w:color w:val="000000"/>
          <w:sz w:val="44"/>
          <w:szCs w:val="44"/>
          <w:lang w:eastAsia="zh-CN"/>
        </w:rPr>
        <w:t>塑料管材管件</w:t>
      </w:r>
      <w:r>
        <w:rPr>
          <w:rFonts w:hint="eastAsia" w:ascii="宋体" w:hAnsi="宋体" w:eastAsia="宋体" w:cs="宋体"/>
          <w:b/>
          <w:bCs w:val="0"/>
          <w:color w:val="000000"/>
          <w:sz w:val="44"/>
          <w:szCs w:val="44"/>
        </w:rPr>
        <w:t>产品质量监督</w:t>
      </w:r>
    </w:p>
    <w:p>
      <w:pPr>
        <w:spacing w:line="660" w:lineRule="exact"/>
        <w:jc w:val="center"/>
        <w:rPr>
          <w:rFonts w:hint="eastAsia" w:ascii="宋体" w:hAnsi="宋体" w:eastAsia="宋体" w:cs="宋体"/>
          <w:b/>
          <w:bCs w:val="0"/>
          <w:color w:val="000000"/>
          <w:sz w:val="44"/>
          <w:szCs w:val="44"/>
        </w:rPr>
      </w:pPr>
      <w:r>
        <w:rPr>
          <w:rFonts w:hint="eastAsia" w:ascii="宋体" w:hAnsi="宋体" w:eastAsia="宋体" w:cs="宋体"/>
          <w:b/>
          <w:bCs w:val="0"/>
          <w:color w:val="000000"/>
          <w:sz w:val="44"/>
          <w:szCs w:val="44"/>
        </w:rPr>
        <w:t>抽查实施细则</w:t>
      </w:r>
    </w:p>
    <w:p>
      <w:pPr>
        <w:spacing w:line="520" w:lineRule="exact"/>
        <w:ind w:firstLine="640" w:firstLineChars="200"/>
        <w:rPr>
          <w:rFonts w:eastAsia="仿宋_GB2312" w:cs="仿宋_GB2312"/>
          <w:sz w:val="32"/>
          <w:szCs w:val="32"/>
        </w:rPr>
      </w:pPr>
    </w:p>
    <w:p>
      <w:pPr>
        <w:spacing w:line="570" w:lineRule="exact"/>
        <w:ind w:firstLine="640" w:firstLineChars="200"/>
        <w:rPr>
          <w:rFonts w:eastAsia="仿宋_GB2312"/>
          <w:color w:val="000000"/>
          <w:sz w:val="32"/>
          <w:szCs w:val="32"/>
        </w:rPr>
      </w:pPr>
      <w:r>
        <w:rPr>
          <w:rFonts w:hint="eastAsia" w:eastAsia="仿宋_GB2312"/>
          <w:color w:val="000000"/>
          <w:sz w:val="32"/>
          <w:szCs w:val="32"/>
        </w:rPr>
        <w:t>本细则由河源市市场监督管理局制定，适用于河源市市场监督管理局组织的</w:t>
      </w:r>
      <w:r>
        <w:rPr>
          <w:rFonts w:hint="eastAsia" w:eastAsia="仿宋_GB2312"/>
          <w:bCs/>
          <w:color w:val="000000"/>
          <w:sz w:val="32"/>
          <w:szCs w:val="32"/>
          <w:lang w:eastAsia="zh-CN"/>
        </w:rPr>
        <w:t>塑料管材管件</w:t>
      </w:r>
      <w:r>
        <w:rPr>
          <w:rFonts w:hint="eastAsia" w:eastAsia="仿宋_GB2312"/>
          <w:color w:val="000000"/>
          <w:sz w:val="32"/>
          <w:szCs w:val="32"/>
        </w:rPr>
        <w:t>产品质量监督抽查的抽样、检验工作。</w:t>
      </w:r>
    </w:p>
    <w:p>
      <w:pPr>
        <w:spacing w:line="570" w:lineRule="exact"/>
        <w:ind w:firstLine="640" w:firstLineChars="200"/>
        <w:rPr>
          <w:rFonts w:eastAsia="黑体" w:cs="黑体"/>
          <w:color w:val="000000"/>
          <w:sz w:val="32"/>
          <w:szCs w:val="32"/>
        </w:rPr>
      </w:pPr>
      <w:r>
        <w:rPr>
          <w:rFonts w:hint="eastAsia" w:eastAsia="黑体" w:cs="黑体"/>
          <w:color w:val="000000"/>
          <w:sz w:val="32"/>
          <w:szCs w:val="32"/>
        </w:rPr>
        <w:t>一、监督抽查的产品</w:t>
      </w:r>
    </w:p>
    <w:p>
      <w:pPr>
        <w:spacing w:line="570" w:lineRule="exact"/>
        <w:ind w:firstLine="640" w:firstLineChars="200"/>
        <w:rPr>
          <w:rFonts w:hint="eastAsia" w:eastAsia="仿宋_GB2312"/>
          <w:sz w:val="32"/>
          <w:szCs w:val="32"/>
          <w:lang w:eastAsia="zh-CN"/>
        </w:rPr>
      </w:pPr>
      <w:r>
        <w:rPr>
          <w:rFonts w:hint="eastAsia" w:eastAsia="楷体_GB2312" w:cs="楷体_GB2312"/>
          <w:color w:val="000000"/>
          <w:sz w:val="32"/>
          <w:szCs w:val="32"/>
        </w:rPr>
        <w:t>（一）抽查产品：</w:t>
      </w:r>
      <w:r>
        <w:rPr>
          <w:rFonts w:hint="eastAsia" w:eastAsia="仿宋_GB2312"/>
          <w:bCs/>
          <w:color w:val="000000"/>
          <w:sz w:val="32"/>
          <w:szCs w:val="32"/>
          <w:lang w:eastAsia="zh-CN"/>
        </w:rPr>
        <w:t>塑料管材</w:t>
      </w:r>
      <w:r>
        <w:rPr>
          <w:rFonts w:hint="eastAsia" w:eastAsia="仿宋_GB2312"/>
          <w:color w:val="000000"/>
          <w:sz w:val="32"/>
          <w:szCs w:val="32"/>
        </w:rPr>
        <w:t>产品</w:t>
      </w:r>
      <w:r>
        <w:rPr>
          <w:rFonts w:hint="eastAsia" w:eastAsia="仿宋_GB2312"/>
          <w:color w:val="000000"/>
          <w:sz w:val="32"/>
          <w:szCs w:val="32"/>
          <w:lang w:eastAsia="zh-CN"/>
        </w:rPr>
        <w:t>。</w:t>
      </w:r>
    </w:p>
    <w:p>
      <w:pPr>
        <w:spacing w:line="570" w:lineRule="exact"/>
        <w:ind w:firstLine="640" w:firstLineChars="200"/>
        <w:rPr>
          <w:rFonts w:eastAsia="仿宋_GB2312"/>
          <w:sz w:val="32"/>
          <w:szCs w:val="32"/>
        </w:rPr>
      </w:pPr>
      <w:r>
        <w:rPr>
          <w:rFonts w:hint="eastAsia" w:eastAsia="楷体_GB2312" w:cs="楷体_GB2312"/>
          <w:color w:val="000000"/>
          <w:sz w:val="32"/>
          <w:szCs w:val="32"/>
        </w:rPr>
        <w:t>（二）监督总体：</w:t>
      </w:r>
      <w:r>
        <w:rPr>
          <w:rFonts w:hint="eastAsia" w:eastAsia="仿宋_GB2312"/>
          <w:color w:val="000000"/>
          <w:sz w:val="32"/>
          <w:szCs w:val="32"/>
        </w:rPr>
        <w:t>河源</w:t>
      </w:r>
      <w:r>
        <w:rPr>
          <w:rFonts w:hint="eastAsia" w:eastAsia="仿宋_GB2312"/>
          <w:sz w:val="32"/>
          <w:szCs w:val="32"/>
        </w:rPr>
        <w:t>市生产及流通领域与抽取的样品同一标称生产者或商标、同一标准、同一型号（规格）的产品集合。</w:t>
      </w:r>
    </w:p>
    <w:p>
      <w:pPr>
        <w:spacing w:line="570" w:lineRule="exact"/>
        <w:ind w:firstLine="640" w:firstLineChars="200"/>
        <w:rPr>
          <w:rFonts w:eastAsia="黑体" w:cs="黑体"/>
          <w:sz w:val="32"/>
          <w:szCs w:val="32"/>
        </w:rPr>
      </w:pPr>
      <w:r>
        <w:rPr>
          <w:rFonts w:hint="eastAsia" w:eastAsia="黑体" w:cs="黑体"/>
          <w:sz w:val="32"/>
          <w:szCs w:val="32"/>
        </w:rPr>
        <w:t>二、抽样、检验程序</w:t>
      </w:r>
    </w:p>
    <w:p>
      <w:pPr>
        <w:spacing w:line="570" w:lineRule="exact"/>
        <w:ind w:firstLine="640" w:firstLineChars="200"/>
        <w:rPr>
          <w:rFonts w:eastAsia="仿宋_GB2312"/>
          <w:sz w:val="32"/>
          <w:szCs w:val="32"/>
        </w:rPr>
      </w:pPr>
      <w:r>
        <w:rPr>
          <w:rFonts w:hint="eastAsia" w:eastAsia="楷体_GB2312" w:cs="楷体_GB2312"/>
          <w:sz w:val="32"/>
          <w:szCs w:val="32"/>
        </w:rPr>
        <w:t>（一）</w:t>
      </w:r>
      <w:r>
        <w:rPr>
          <w:rFonts w:hint="eastAsia" w:eastAsia="仿宋_GB2312"/>
          <w:sz w:val="32"/>
          <w:szCs w:val="32"/>
        </w:rPr>
        <w:t>《产品质量监督抽查管理暂行办法》（国家市场监督管理总局令第18号）</w:t>
      </w:r>
    </w:p>
    <w:p>
      <w:pPr>
        <w:spacing w:line="570" w:lineRule="exact"/>
        <w:ind w:firstLine="640" w:firstLineChars="200"/>
        <w:rPr>
          <w:rFonts w:eastAsia="仿宋_GB2312"/>
          <w:sz w:val="32"/>
          <w:szCs w:val="32"/>
        </w:rPr>
      </w:pPr>
      <w:r>
        <w:rPr>
          <w:rFonts w:hint="eastAsia" w:eastAsia="仿宋_GB2312"/>
          <w:sz w:val="32"/>
          <w:szCs w:val="32"/>
        </w:rPr>
        <w:t>（二）T/GDAQI 020-2020《产品质量监督抽查抽样检验技术服务规范》</w:t>
      </w:r>
    </w:p>
    <w:p>
      <w:pPr>
        <w:spacing w:line="570" w:lineRule="exact"/>
        <w:ind w:firstLine="640" w:firstLineChars="200"/>
        <w:rPr>
          <w:rFonts w:eastAsia="仿宋_GB2312"/>
          <w:sz w:val="32"/>
          <w:szCs w:val="32"/>
        </w:rPr>
      </w:pPr>
      <w:r>
        <w:rPr>
          <w:rFonts w:hint="eastAsia" w:eastAsia="仿宋_GB2312"/>
          <w:sz w:val="32"/>
          <w:szCs w:val="32"/>
        </w:rPr>
        <w:t>（三）承检机构在抽样检验程序中根据实际情况及检验程序的法定性与有效性予以补充。</w:t>
      </w:r>
    </w:p>
    <w:p>
      <w:pPr>
        <w:spacing w:line="570" w:lineRule="exact"/>
        <w:ind w:firstLine="640" w:firstLineChars="200"/>
        <w:rPr>
          <w:rFonts w:eastAsia="黑体" w:cs="黑体"/>
          <w:color w:val="000000"/>
          <w:sz w:val="32"/>
          <w:szCs w:val="32"/>
        </w:rPr>
      </w:pPr>
      <w:r>
        <w:rPr>
          <w:rFonts w:hint="eastAsia" w:eastAsia="黑体" w:cs="黑体"/>
          <w:color w:val="000000"/>
          <w:sz w:val="32"/>
          <w:szCs w:val="32"/>
        </w:rPr>
        <w:t>三、抽样方案</w:t>
      </w:r>
    </w:p>
    <w:p>
      <w:pPr>
        <w:keepNext w:val="0"/>
        <w:keepLines w:val="0"/>
        <w:pageBreakBefore w:val="0"/>
        <w:kinsoku/>
        <w:wordWrap/>
        <w:overflowPunct/>
        <w:topLinePunct w:val="0"/>
        <w:autoSpaceDE/>
        <w:autoSpaceDN/>
        <w:bidi w:val="0"/>
        <w:adjustRightInd/>
        <w:snapToGrid/>
        <w:spacing w:line="240" w:lineRule="auto"/>
        <w:ind w:firstLine="640" w:firstLineChars="200"/>
        <w:textAlignment w:val="auto"/>
        <w:rPr>
          <w:rFonts w:cs="宋体"/>
          <w:sz w:val="24"/>
        </w:rPr>
      </w:pPr>
      <w:r>
        <w:rPr>
          <w:rFonts w:hint="eastAsia" w:eastAsia="楷体_GB2312" w:cs="楷体_GB2312"/>
          <w:color w:val="000000"/>
          <w:sz w:val="32"/>
          <w:szCs w:val="32"/>
        </w:rPr>
        <w:t>（一）抽查数量：</w:t>
      </w:r>
      <w:r>
        <w:rPr>
          <w:rFonts w:hint="eastAsia" w:eastAsia="仿宋_GB2312"/>
          <w:color w:val="000000"/>
          <w:sz w:val="32"/>
          <w:szCs w:val="32"/>
        </w:rPr>
        <w:t>每款产品抽取</w:t>
      </w:r>
      <w:r>
        <w:rPr>
          <w:rFonts w:eastAsia="仿宋_GB2312"/>
          <w:color w:val="000000"/>
          <w:sz w:val="32"/>
          <w:szCs w:val="32"/>
        </w:rPr>
        <w:t>2</w:t>
      </w:r>
      <w:r>
        <w:rPr>
          <w:rFonts w:hint="eastAsia" w:eastAsia="仿宋_GB2312"/>
          <w:color w:val="000000"/>
          <w:sz w:val="32"/>
          <w:szCs w:val="32"/>
        </w:rPr>
        <w:t>组样本，第</w:t>
      </w:r>
      <w:r>
        <w:rPr>
          <w:rFonts w:eastAsia="仿宋_GB2312"/>
          <w:color w:val="000000"/>
          <w:sz w:val="32"/>
          <w:szCs w:val="32"/>
        </w:rPr>
        <w:t>1</w:t>
      </w:r>
      <w:r>
        <w:rPr>
          <w:rFonts w:hint="eastAsia" w:eastAsia="仿宋_GB2312"/>
          <w:color w:val="000000"/>
          <w:sz w:val="32"/>
          <w:szCs w:val="32"/>
        </w:rPr>
        <w:t>组用于检验，第</w:t>
      </w:r>
      <w:r>
        <w:rPr>
          <w:rFonts w:eastAsia="仿宋_GB2312"/>
          <w:color w:val="000000"/>
          <w:sz w:val="32"/>
          <w:szCs w:val="32"/>
        </w:rPr>
        <w:t>2</w:t>
      </w:r>
      <w:r>
        <w:rPr>
          <w:rFonts w:hint="eastAsia" w:eastAsia="仿宋_GB2312"/>
          <w:color w:val="000000"/>
          <w:sz w:val="32"/>
          <w:szCs w:val="32"/>
        </w:rPr>
        <w:t>组用于备</w:t>
      </w:r>
      <w:r>
        <w:rPr>
          <w:rFonts w:hint="eastAsia" w:ascii="Times New Roman" w:hAnsi="Times New Roman" w:eastAsia="仿宋_GB2312" w:cs="Times New Roman"/>
          <w:sz w:val="32"/>
          <w:szCs w:val="32"/>
        </w:rPr>
        <w:t>样</w:t>
      </w:r>
      <w:r>
        <w:rPr>
          <w:rFonts w:hint="eastAsia"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rPr>
        <w:t>备用样品封存于</w:t>
      </w:r>
      <w:r>
        <w:rPr>
          <w:rFonts w:hint="eastAsia" w:ascii="Times New Roman" w:hAnsi="Times New Roman" w:eastAsia="仿宋_GB2312" w:cs="Times New Roman"/>
          <w:sz w:val="32"/>
          <w:szCs w:val="32"/>
          <w:lang w:eastAsia="zh-CN"/>
        </w:rPr>
        <w:t>承检机构</w:t>
      </w:r>
      <w:r>
        <w:rPr>
          <w:rFonts w:hint="eastAsia" w:ascii="Times New Roman" w:hAnsi="Times New Roman" w:eastAsia="仿宋_GB2312" w:cs="Times New Roman"/>
          <w:sz w:val="32"/>
          <w:szCs w:val="32"/>
        </w:rPr>
        <w:t>。</w:t>
      </w:r>
      <w:r>
        <w:rPr>
          <w:rFonts w:hint="eastAsia" w:eastAsia="仿宋"/>
          <w:color w:val="000000"/>
          <w:sz w:val="32"/>
          <w:szCs w:val="32"/>
        </w:rPr>
        <w:t>每组样本需抽取样品数量如下表所示：</w:t>
      </w:r>
      <w:r>
        <w:rPr>
          <w:rFonts w:cs="宋体"/>
          <w:sz w:val="24"/>
        </w:rPr>
        <w:t xml:space="preserve"> </w:t>
      </w:r>
    </w:p>
    <w:p>
      <w:pPr>
        <w:keepNext w:val="0"/>
        <w:keepLines w:val="0"/>
        <w:pageBreakBefore w:val="0"/>
        <w:kinsoku/>
        <w:wordWrap/>
        <w:overflowPunct/>
        <w:topLinePunct w:val="0"/>
        <w:autoSpaceDE/>
        <w:autoSpaceDN/>
        <w:bidi w:val="0"/>
        <w:adjustRightInd/>
        <w:snapToGrid/>
        <w:spacing w:line="240" w:lineRule="auto"/>
        <w:ind w:firstLine="480" w:firstLineChars="200"/>
        <w:textAlignment w:val="auto"/>
        <w:rPr>
          <w:rFonts w:hint="eastAsia" w:cs="宋体"/>
          <w:sz w:val="24"/>
        </w:rPr>
      </w:pPr>
    </w:p>
    <w:tbl>
      <w:tblPr>
        <w:tblStyle w:val="4"/>
        <w:tblW w:w="863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6"/>
        <w:gridCol w:w="2041"/>
        <w:gridCol w:w="1980"/>
        <w:gridCol w:w="1876"/>
        <w:gridCol w:w="19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9" w:hRule="atLeast"/>
          <w:jc w:val="center"/>
        </w:trPr>
        <w:tc>
          <w:tcPr>
            <w:tcW w:w="836" w:type="dxa"/>
            <w:vAlign w:val="center"/>
          </w:tcPr>
          <w:p>
            <w:pPr>
              <w:adjustRightInd w:val="0"/>
              <w:snapToGrid w:val="0"/>
              <w:jc w:val="center"/>
              <w:rPr>
                <w:b/>
                <w:color w:val="000000"/>
                <w:szCs w:val="21"/>
              </w:rPr>
            </w:pPr>
            <w:r>
              <w:rPr>
                <w:b/>
                <w:color w:val="000000"/>
                <w:szCs w:val="21"/>
              </w:rPr>
              <w:t>序号</w:t>
            </w:r>
          </w:p>
        </w:tc>
        <w:tc>
          <w:tcPr>
            <w:tcW w:w="2041" w:type="dxa"/>
            <w:vAlign w:val="center"/>
          </w:tcPr>
          <w:p>
            <w:pPr>
              <w:adjustRightInd w:val="0"/>
              <w:snapToGrid w:val="0"/>
              <w:jc w:val="center"/>
              <w:rPr>
                <w:b/>
                <w:color w:val="000000"/>
                <w:szCs w:val="21"/>
              </w:rPr>
            </w:pPr>
            <w:r>
              <w:rPr>
                <w:b/>
                <w:color w:val="000000"/>
                <w:szCs w:val="21"/>
              </w:rPr>
              <w:t>产品名称</w:t>
            </w:r>
          </w:p>
        </w:tc>
        <w:tc>
          <w:tcPr>
            <w:tcW w:w="1980" w:type="dxa"/>
            <w:vAlign w:val="center"/>
          </w:tcPr>
          <w:p>
            <w:pPr>
              <w:adjustRightInd w:val="0"/>
              <w:snapToGrid w:val="0"/>
              <w:jc w:val="center"/>
              <w:rPr>
                <w:b/>
                <w:color w:val="000000"/>
                <w:szCs w:val="21"/>
              </w:rPr>
            </w:pPr>
            <w:r>
              <w:rPr>
                <w:b/>
                <w:color w:val="000000"/>
                <w:szCs w:val="21"/>
              </w:rPr>
              <w:t>抽样数量</w:t>
            </w:r>
          </w:p>
        </w:tc>
        <w:tc>
          <w:tcPr>
            <w:tcW w:w="1876" w:type="dxa"/>
            <w:vAlign w:val="center"/>
          </w:tcPr>
          <w:p>
            <w:pPr>
              <w:adjustRightInd w:val="0"/>
              <w:snapToGrid w:val="0"/>
              <w:jc w:val="center"/>
              <w:rPr>
                <w:b/>
                <w:color w:val="000000"/>
                <w:szCs w:val="21"/>
              </w:rPr>
            </w:pPr>
            <w:r>
              <w:rPr>
                <w:b/>
                <w:color w:val="000000"/>
                <w:szCs w:val="21"/>
              </w:rPr>
              <w:t>检测样品</w:t>
            </w:r>
          </w:p>
        </w:tc>
        <w:tc>
          <w:tcPr>
            <w:tcW w:w="1904" w:type="dxa"/>
            <w:vAlign w:val="center"/>
          </w:tcPr>
          <w:p>
            <w:pPr>
              <w:adjustRightInd w:val="0"/>
              <w:snapToGrid w:val="0"/>
              <w:jc w:val="center"/>
              <w:rPr>
                <w:b/>
                <w:color w:val="000000"/>
                <w:szCs w:val="21"/>
              </w:rPr>
            </w:pPr>
            <w:r>
              <w:rPr>
                <w:b/>
                <w:color w:val="000000"/>
                <w:szCs w:val="21"/>
              </w:rPr>
              <w:t>备用样品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9" w:hRule="atLeast"/>
          <w:jc w:val="center"/>
        </w:trPr>
        <w:tc>
          <w:tcPr>
            <w:tcW w:w="836" w:type="dxa"/>
            <w:vAlign w:val="center"/>
          </w:tcPr>
          <w:p>
            <w:pPr>
              <w:adjustRightInd w:val="0"/>
              <w:snapToGrid w:val="0"/>
              <w:jc w:val="center"/>
              <w:rPr>
                <w:rFonts w:hint="eastAsia" w:eastAsia="宋体"/>
                <w:b/>
                <w:color w:val="000000"/>
                <w:szCs w:val="21"/>
                <w:lang w:val="en-US" w:eastAsia="zh-CN"/>
              </w:rPr>
            </w:pPr>
            <w:r>
              <w:rPr>
                <w:rFonts w:hint="eastAsia"/>
                <w:b/>
                <w:color w:val="000000"/>
                <w:szCs w:val="21"/>
                <w:lang w:val="en-US" w:eastAsia="zh-CN"/>
              </w:rPr>
              <w:t>1</w:t>
            </w:r>
          </w:p>
        </w:tc>
        <w:tc>
          <w:tcPr>
            <w:tcW w:w="2041" w:type="dxa"/>
            <w:vAlign w:val="center"/>
          </w:tcPr>
          <w:p>
            <w:pPr>
              <w:adjustRightInd w:val="0"/>
              <w:snapToGrid w:val="0"/>
              <w:jc w:val="center"/>
              <w:rPr>
                <w:rFonts w:ascii="Times New Roman" w:hAnsi="Times New Roman" w:eastAsia="宋体" w:cs="Times New Roman"/>
                <w:color w:val="000000"/>
                <w:kern w:val="2"/>
                <w:sz w:val="21"/>
                <w:szCs w:val="24"/>
                <w:lang w:val="en-US" w:eastAsia="zh-CN" w:bidi="ar-SA"/>
              </w:rPr>
            </w:pPr>
            <w:r>
              <w:rPr>
                <w:color w:val="000000"/>
              </w:rPr>
              <w:t xml:space="preserve"> </w:t>
            </w:r>
            <w:r>
              <w:rPr>
                <w:color w:val="000000"/>
                <w:szCs w:val="21"/>
              </w:rPr>
              <w:t>给水用聚乙烯（</w:t>
            </w:r>
            <w:r>
              <w:rPr>
                <w:color w:val="000000"/>
              </w:rPr>
              <w:t>PE）给水管材</w:t>
            </w:r>
          </w:p>
        </w:tc>
        <w:tc>
          <w:tcPr>
            <w:tcW w:w="1980" w:type="dxa"/>
            <w:vAlign w:val="center"/>
          </w:tcPr>
          <w:p>
            <w:pPr>
              <w:adjustRightInd w:val="0"/>
              <w:snapToGrid w:val="0"/>
              <w:jc w:val="center"/>
              <w:rPr>
                <w:rFonts w:ascii="Times New Roman" w:hAnsi="Times New Roman" w:eastAsia="宋体" w:cs="Times New Roman"/>
                <w:color w:val="000000"/>
                <w:kern w:val="2"/>
                <w:sz w:val="21"/>
                <w:szCs w:val="24"/>
                <w:lang w:val="en-US" w:eastAsia="zh-CN" w:bidi="ar-SA"/>
              </w:rPr>
            </w:pPr>
            <w:r>
              <w:rPr>
                <w:color w:val="000000"/>
              </w:rPr>
              <w:t>（1</w:t>
            </w:r>
            <w:r>
              <w:rPr>
                <w:rFonts w:hint="eastAsia"/>
                <w:color w:val="000000"/>
              </w:rPr>
              <w:t>.0</w:t>
            </w:r>
            <w:r>
              <w:rPr>
                <w:color w:val="000000"/>
              </w:rPr>
              <w:t>m×</w:t>
            </w:r>
            <w:r>
              <w:rPr>
                <w:rFonts w:hint="eastAsia"/>
                <w:color w:val="000000"/>
              </w:rPr>
              <w:t>10段</w:t>
            </w:r>
            <w:r>
              <w:rPr>
                <w:color w:val="000000"/>
              </w:rPr>
              <w:t>）/组×2组</w:t>
            </w:r>
          </w:p>
        </w:tc>
        <w:tc>
          <w:tcPr>
            <w:tcW w:w="1876" w:type="dxa"/>
            <w:vAlign w:val="center"/>
          </w:tcPr>
          <w:p>
            <w:pPr>
              <w:adjustRightInd w:val="0"/>
              <w:snapToGrid w:val="0"/>
              <w:jc w:val="center"/>
              <w:rPr>
                <w:rFonts w:ascii="Times New Roman" w:hAnsi="Times New Roman" w:eastAsia="宋体" w:cs="Times New Roman"/>
                <w:color w:val="000000"/>
                <w:kern w:val="2"/>
                <w:sz w:val="21"/>
                <w:szCs w:val="24"/>
                <w:lang w:val="en-US" w:eastAsia="zh-CN" w:bidi="ar-SA"/>
              </w:rPr>
            </w:pPr>
            <w:r>
              <w:rPr>
                <w:color w:val="000000"/>
              </w:rPr>
              <w:t>（1</w:t>
            </w:r>
            <w:r>
              <w:rPr>
                <w:rFonts w:hint="eastAsia"/>
                <w:color w:val="000000"/>
              </w:rPr>
              <w:t>.0</w:t>
            </w:r>
            <w:r>
              <w:rPr>
                <w:color w:val="000000"/>
              </w:rPr>
              <w:t>m×</w:t>
            </w:r>
            <w:r>
              <w:rPr>
                <w:rFonts w:hint="eastAsia"/>
                <w:color w:val="000000"/>
              </w:rPr>
              <w:t>10段</w:t>
            </w:r>
            <w:r>
              <w:rPr>
                <w:color w:val="000000"/>
              </w:rPr>
              <w:t>）/组</w:t>
            </w:r>
          </w:p>
        </w:tc>
        <w:tc>
          <w:tcPr>
            <w:tcW w:w="1904" w:type="dxa"/>
            <w:vAlign w:val="center"/>
          </w:tcPr>
          <w:p>
            <w:pPr>
              <w:adjustRightInd w:val="0"/>
              <w:snapToGrid w:val="0"/>
              <w:jc w:val="center"/>
              <w:rPr>
                <w:rFonts w:ascii="Times New Roman" w:hAnsi="Times New Roman" w:eastAsia="宋体" w:cs="Times New Roman"/>
                <w:color w:val="000000"/>
                <w:kern w:val="2"/>
                <w:sz w:val="21"/>
                <w:szCs w:val="24"/>
                <w:lang w:val="en-US" w:eastAsia="zh-CN" w:bidi="ar-SA"/>
              </w:rPr>
            </w:pPr>
            <w:r>
              <w:rPr>
                <w:color w:val="000000"/>
              </w:rPr>
              <w:t>（1</w:t>
            </w:r>
            <w:r>
              <w:rPr>
                <w:rFonts w:hint="eastAsia"/>
                <w:color w:val="000000"/>
              </w:rPr>
              <w:t>.0</w:t>
            </w:r>
            <w:r>
              <w:rPr>
                <w:color w:val="000000"/>
              </w:rPr>
              <w:t>m/支×</w:t>
            </w:r>
            <w:r>
              <w:rPr>
                <w:rFonts w:hint="eastAsia"/>
                <w:color w:val="000000"/>
              </w:rPr>
              <w:t>10段</w:t>
            </w:r>
            <w:r>
              <w:rPr>
                <w:color w:val="000000"/>
              </w:rPr>
              <w:t>）/组</w:t>
            </w:r>
          </w:p>
        </w:tc>
      </w:tr>
    </w:tbl>
    <w:p>
      <w:pPr>
        <w:spacing w:line="570" w:lineRule="exact"/>
        <w:ind w:firstLine="640" w:firstLineChars="200"/>
        <w:rPr>
          <w:rFonts w:eastAsia="仿宋_GB2312" w:cs="仿宋_GB2312"/>
          <w:color w:val="000000"/>
          <w:sz w:val="32"/>
          <w:szCs w:val="32"/>
        </w:rPr>
      </w:pPr>
      <w:r>
        <w:rPr>
          <w:rFonts w:hint="eastAsia" w:eastAsia="楷体_GB2312" w:cs="楷体_GB2312"/>
          <w:color w:val="000000"/>
          <w:sz w:val="32"/>
          <w:szCs w:val="32"/>
        </w:rPr>
        <w:t>（二）抽样方法。</w:t>
      </w:r>
      <w:r>
        <w:rPr>
          <w:rFonts w:hint="eastAsia" w:eastAsia="仿宋_GB2312" w:cs="仿宋_GB2312"/>
          <w:sz w:val="32"/>
          <w:szCs w:val="32"/>
        </w:rPr>
        <w:t>确定</w:t>
      </w:r>
      <w:r>
        <w:rPr>
          <w:rFonts w:hint="eastAsia" w:eastAsia="仿宋_GB2312" w:cs="仿宋_GB2312"/>
          <w:color w:val="000000"/>
          <w:sz w:val="32"/>
          <w:szCs w:val="32"/>
        </w:rPr>
        <w:t>被抽样对象应符合T/GDAQI 020-2020《产品质量监督抽查抽样检验技术服务规范》</w:t>
      </w:r>
      <w:r>
        <w:rPr>
          <w:rFonts w:eastAsia="仿宋_GB2312" w:cs="仿宋_GB2312"/>
          <w:color w:val="000000"/>
          <w:sz w:val="32"/>
          <w:szCs w:val="32"/>
        </w:rPr>
        <w:t>5.3.3.3</w:t>
      </w:r>
      <w:r>
        <w:rPr>
          <w:rFonts w:hint="eastAsia" w:eastAsia="仿宋_GB2312" w:cs="仿宋_GB2312"/>
          <w:color w:val="000000"/>
          <w:sz w:val="32"/>
          <w:szCs w:val="32"/>
        </w:rPr>
        <w:t>和第</w:t>
      </w:r>
      <w:r>
        <w:rPr>
          <w:rFonts w:eastAsia="仿宋_GB2312" w:cs="仿宋_GB2312"/>
          <w:color w:val="000000"/>
          <w:sz w:val="32"/>
          <w:szCs w:val="32"/>
        </w:rPr>
        <w:t>6章抽样的相关要求。</w:t>
      </w:r>
    </w:p>
    <w:p>
      <w:pPr>
        <w:spacing w:line="590" w:lineRule="exact"/>
        <w:ind w:firstLine="640" w:firstLineChars="200"/>
        <w:rPr>
          <w:rFonts w:eastAsia="黑体" w:cs="黑体"/>
          <w:color w:val="000000"/>
          <w:sz w:val="32"/>
          <w:szCs w:val="32"/>
        </w:rPr>
      </w:pPr>
      <w:r>
        <w:rPr>
          <w:rFonts w:hint="eastAsia" w:eastAsia="黑体" w:cs="黑体"/>
          <w:color w:val="000000"/>
          <w:sz w:val="32"/>
          <w:szCs w:val="32"/>
        </w:rPr>
        <w:t>四、检验依据</w:t>
      </w:r>
    </w:p>
    <w:p>
      <w:pPr>
        <w:widowControl/>
        <w:autoSpaceDN w:val="0"/>
        <w:spacing w:line="590" w:lineRule="exact"/>
        <w:ind w:firstLine="641"/>
        <w:jc w:val="left"/>
        <w:rPr>
          <w:rFonts w:eastAsia="楷体_GB2312" w:cs="楷体_GB2312"/>
          <w:kern w:val="0"/>
          <w:sz w:val="32"/>
          <w:szCs w:val="32"/>
        </w:rPr>
      </w:pPr>
      <w:r>
        <w:rPr>
          <w:rFonts w:hint="eastAsia" w:eastAsia="楷体_GB2312" w:cs="楷体_GB2312"/>
          <w:kern w:val="0"/>
          <w:sz w:val="32"/>
          <w:szCs w:val="32"/>
        </w:rPr>
        <w:t>（一）产品标准。</w:t>
      </w:r>
    </w:p>
    <w:p>
      <w:pPr>
        <w:spacing w:line="570" w:lineRule="exact"/>
        <w:ind w:firstLine="640" w:firstLineChars="200"/>
        <w:rPr>
          <w:rFonts w:hint="default" w:ascii="Times New Roman" w:hAnsi="Times New Roman" w:eastAsia="仿宋_GB2312" w:cs="Times New Roman"/>
          <w:bCs/>
          <w:color w:val="000000"/>
          <w:sz w:val="32"/>
          <w:szCs w:val="32"/>
          <w:lang w:val="en-US" w:eastAsia="zh-CN"/>
        </w:rPr>
      </w:pPr>
      <w:r>
        <w:rPr>
          <w:rFonts w:hint="eastAsia" w:ascii="Times New Roman" w:hAnsi="Times New Roman" w:eastAsia="仿宋_GB2312" w:cs="Times New Roman"/>
          <w:bCs/>
          <w:color w:val="000000"/>
          <w:sz w:val="32"/>
          <w:szCs w:val="32"/>
          <w:lang w:val="en-US" w:eastAsia="zh-CN"/>
        </w:rPr>
        <w:t>1.强制标准：</w:t>
      </w:r>
    </w:p>
    <w:p>
      <w:pPr>
        <w:spacing w:line="570" w:lineRule="exact"/>
        <w:ind w:firstLine="640" w:firstLineChars="200"/>
        <w:rPr>
          <w:rFonts w:hint="eastAsia" w:ascii="Times New Roman" w:hAnsi="Times New Roman" w:eastAsia="仿宋_GB2312" w:cs="Times New Roman"/>
          <w:bCs/>
          <w:color w:val="000000"/>
          <w:sz w:val="32"/>
          <w:szCs w:val="32"/>
          <w:lang w:val="en-US" w:eastAsia="zh-CN"/>
        </w:rPr>
      </w:pPr>
      <w:r>
        <w:rPr>
          <w:rFonts w:hint="eastAsia" w:ascii="Times New Roman" w:hAnsi="Times New Roman" w:eastAsia="仿宋_GB2312" w:cs="Times New Roman"/>
          <w:bCs/>
          <w:color w:val="000000"/>
          <w:sz w:val="32"/>
          <w:szCs w:val="32"/>
          <w:lang w:val="en-US" w:eastAsia="zh-CN"/>
        </w:rPr>
        <w:t>无</w:t>
      </w:r>
      <w:r>
        <w:rPr>
          <w:rFonts w:hint="eastAsia" w:eastAsia="仿宋_GB2312" w:cs="Times New Roman"/>
          <w:bCs/>
          <w:color w:val="000000"/>
          <w:sz w:val="32"/>
          <w:szCs w:val="32"/>
          <w:lang w:val="en-US" w:eastAsia="zh-CN"/>
        </w:rPr>
        <w:t>。</w:t>
      </w:r>
      <w:bookmarkStart w:id="0" w:name="_GoBack"/>
      <w:bookmarkEnd w:id="0"/>
    </w:p>
    <w:p>
      <w:pPr>
        <w:spacing w:line="570" w:lineRule="exact"/>
        <w:ind w:firstLine="640" w:firstLineChars="200"/>
        <w:rPr>
          <w:rFonts w:hint="eastAsia" w:ascii="Times New Roman" w:hAnsi="Times New Roman" w:eastAsia="仿宋_GB2312" w:cs="Times New Roman"/>
          <w:bCs/>
          <w:color w:val="000000"/>
          <w:sz w:val="32"/>
          <w:szCs w:val="32"/>
          <w:lang w:eastAsia="zh-CN"/>
        </w:rPr>
      </w:pPr>
      <w:r>
        <w:rPr>
          <w:rFonts w:hint="eastAsia" w:ascii="Times New Roman" w:hAnsi="Times New Roman" w:eastAsia="仿宋_GB2312" w:cs="Times New Roman"/>
          <w:bCs/>
          <w:color w:val="000000"/>
          <w:sz w:val="32"/>
          <w:szCs w:val="32"/>
          <w:lang w:eastAsia="zh-CN"/>
        </w:rPr>
        <w:t>2. 推荐性标准：</w:t>
      </w:r>
    </w:p>
    <w:p>
      <w:pPr>
        <w:spacing w:line="570" w:lineRule="exact"/>
        <w:ind w:firstLine="640" w:firstLineChars="200"/>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GB/T 13663.2-2018 《给水用聚乙烯（PE）管道系统 第2部分：管材》</w:t>
      </w:r>
    </w:p>
    <w:p>
      <w:pPr>
        <w:spacing w:line="570" w:lineRule="exact"/>
        <w:ind w:firstLine="640" w:firstLineChars="200"/>
        <w:rPr>
          <w:rFonts w:hint="eastAsia" w:ascii="Times New Roman" w:hAnsi="Times New Roman" w:eastAsia="仿宋_GB2312" w:cs="Times New Roman"/>
          <w:bCs/>
          <w:color w:val="000000"/>
          <w:sz w:val="32"/>
          <w:szCs w:val="32"/>
          <w:lang w:eastAsia="zh-CN"/>
        </w:rPr>
      </w:pPr>
      <w:r>
        <w:rPr>
          <w:rFonts w:hint="eastAsia" w:ascii="Times New Roman" w:hAnsi="Times New Roman" w:eastAsia="仿宋_GB2312" w:cs="Times New Roman"/>
          <w:bCs/>
          <w:color w:val="000000"/>
          <w:sz w:val="32"/>
          <w:szCs w:val="32"/>
          <w:lang w:eastAsia="zh-CN"/>
        </w:rPr>
        <w:t>现行有效的企业标准、团体标准、地方标准及产品明示质量要求。</w:t>
      </w:r>
    </w:p>
    <w:p>
      <w:pPr>
        <w:spacing w:line="590" w:lineRule="exact"/>
        <w:ind w:firstLine="640" w:firstLineChars="200"/>
        <w:rPr>
          <w:rFonts w:eastAsia="仿宋_GB2312"/>
          <w:color w:val="000000"/>
          <w:sz w:val="32"/>
          <w:szCs w:val="32"/>
        </w:rPr>
      </w:pPr>
      <w:r>
        <w:rPr>
          <w:rFonts w:hint="eastAsia" w:eastAsia="楷体_GB2312" w:cs="楷体_GB2312"/>
          <w:kern w:val="0"/>
          <w:sz w:val="32"/>
          <w:szCs w:val="32"/>
        </w:rPr>
        <w:t>（二）涉及本类产品质量判定相关法律法规、国家有关规定。</w:t>
      </w:r>
      <w:r>
        <w:rPr>
          <w:rFonts w:hint="eastAsia" w:eastAsia="仿宋_GB2312"/>
          <w:color w:val="000000"/>
          <w:sz w:val="32"/>
          <w:szCs w:val="32"/>
        </w:rPr>
        <w:t>主要包括《中华人民共和国产品质量法》《中华人民共和国消费者权益保护法》《产品质量监督抽查管理暂行办法》《广东省查处生产销售假冒伪劣产品违法行为条例》等法律法规规章及《广东省市场监督管理局产品质量监督抽查工作指导意见（试行）》（粤市监质监〔2019〕494号）。</w:t>
      </w:r>
    </w:p>
    <w:p>
      <w:pPr>
        <w:spacing w:line="590" w:lineRule="exact"/>
        <w:ind w:firstLine="640" w:firstLineChars="200"/>
        <w:rPr>
          <w:rFonts w:eastAsia="仿宋_GB2312"/>
          <w:sz w:val="32"/>
          <w:szCs w:val="32"/>
        </w:rPr>
      </w:pPr>
      <w:r>
        <w:rPr>
          <w:rFonts w:hint="eastAsia" w:eastAsia="黑体" w:cs="黑体"/>
          <w:color w:val="000000"/>
          <w:sz w:val="32"/>
          <w:szCs w:val="32"/>
        </w:rPr>
        <w:t>五、主要检验项目及不合格类别的划分指标</w:t>
      </w:r>
      <w:r>
        <w:rPr>
          <w:rFonts w:cs="宋体"/>
          <w:sz w:val="32"/>
          <w:szCs w:val="32"/>
        </w:rPr>
        <w:t xml:space="preserve"> </w:t>
      </w:r>
    </w:p>
    <w:tbl>
      <w:tblPr>
        <w:tblStyle w:val="4"/>
        <w:tblW w:w="860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5"/>
        <w:gridCol w:w="2721"/>
        <w:gridCol w:w="2443"/>
        <w:gridCol w:w="493"/>
        <w:gridCol w:w="472"/>
        <w:gridCol w:w="514"/>
        <w:gridCol w:w="557"/>
        <w:gridCol w:w="5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885"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hint="eastAsia" w:cs="仿宋_GB2312"/>
                <w:sz w:val="24"/>
              </w:rPr>
            </w:pPr>
            <w:r>
              <w:rPr>
                <w:rFonts w:hint="eastAsia" w:cs="仿宋_GB2312"/>
                <w:sz w:val="24"/>
              </w:rPr>
              <w:t>序号</w:t>
            </w:r>
          </w:p>
        </w:tc>
        <w:tc>
          <w:tcPr>
            <w:tcW w:w="2721"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hint="eastAsia" w:cs="仿宋_GB2312"/>
                <w:sz w:val="24"/>
              </w:rPr>
            </w:pPr>
            <w:r>
              <w:rPr>
                <w:rFonts w:hint="eastAsia" w:cs="仿宋_GB2312"/>
                <w:sz w:val="24"/>
              </w:rPr>
              <w:t>检验项目</w:t>
            </w:r>
          </w:p>
        </w:tc>
        <w:tc>
          <w:tcPr>
            <w:tcW w:w="2443"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hint="eastAsia" w:cs="仿宋_GB2312"/>
                <w:sz w:val="24"/>
              </w:rPr>
            </w:pPr>
            <w:r>
              <w:rPr>
                <w:rFonts w:hint="eastAsia" w:cs="仿宋_GB2312"/>
                <w:sz w:val="24"/>
              </w:rPr>
              <w:t>依据法律法规或标准</w:t>
            </w:r>
          </w:p>
        </w:tc>
        <w:tc>
          <w:tcPr>
            <w:tcW w:w="493"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hint="eastAsia" w:cs="仿宋_GB2312"/>
                <w:sz w:val="24"/>
              </w:rPr>
            </w:pPr>
            <w:r>
              <w:rPr>
                <w:rFonts w:hint="eastAsia" w:cs="仿宋_GB2312"/>
                <w:sz w:val="24"/>
              </w:rPr>
              <w:t>强制性</w:t>
            </w:r>
          </w:p>
        </w:tc>
        <w:tc>
          <w:tcPr>
            <w:tcW w:w="472"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hint="eastAsia" w:cs="仿宋_GB2312"/>
                <w:sz w:val="24"/>
              </w:rPr>
            </w:pPr>
            <w:r>
              <w:rPr>
                <w:rFonts w:hint="eastAsia" w:cs="仿宋_GB2312"/>
                <w:sz w:val="24"/>
              </w:rPr>
              <w:t>非强制性</w:t>
            </w:r>
          </w:p>
        </w:tc>
        <w:tc>
          <w:tcPr>
            <w:tcW w:w="51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hint="eastAsia" w:cs="仿宋_GB2312"/>
                <w:sz w:val="24"/>
              </w:rPr>
            </w:pPr>
            <w:r>
              <w:rPr>
                <w:rFonts w:hint="eastAsia" w:cs="仿宋_GB2312"/>
                <w:sz w:val="24"/>
              </w:rPr>
              <w:t>重要项</w:t>
            </w:r>
          </w:p>
        </w:tc>
        <w:tc>
          <w:tcPr>
            <w:tcW w:w="557"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hint="eastAsia" w:cs="仿宋_GB2312"/>
                <w:sz w:val="24"/>
              </w:rPr>
            </w:pPr>
            <w:r>
              <w:rPr>
                <w:rFonts w:hint="eastAsia" w:cs="仿宋_GB2312"/>
                <w:sz w:val="24"/>
              </w:rPr>
              <w:t>较重要项</w:t>
            </w:r>
          </w:p>
        </w:tc>
        <w:tc>
          <w:tcPr>
            <w:tcW w:w="521" w:type="dxa"/>
            <w:tcBorders>
              <w:top w:val="single" w:color="auto" w:sz="4" w:space="0"/>
              <w:left w:val="single" w:color="auto" w:sz="4" w:space="0"/>
              <w:right w:val="single" w:color="auto" w:sz="4" w:space="0"/>
            </w:tcBorders>
            <w:noWrap w:val="0"/>
            <w:vAlign w:val="center"/>
          </w:tcPr>
          <w:p>
            <w:pPr>
              <w:adjustRightInd w:val="0"/>
              <w:snapToGrid w:val="0"/>
              <w:spacing w:line="360" w:lineRule="exact"/>
              <w:jc w:val="center"/>
              <w:rPr>
                <w:rFonts w:hint="eastAsia" w:cs="仿宋_GB2312"/>
                <w:sz w:val="24"/>
              </w:rPr>
            </w:pPr>
            <w:r>
              <w:rPr>
                <w:rFonts w:hint="eastAsia" w:cs="仿宋_GB2312"/>
                <w:sz w:val="24"/>
              </w:rPr>
              <w:t>次要项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0" w:hRule="atLeast"/>
          <w:jc w:val="center"/>
        </w:trPr>
        <w:tc>
          <w:tcPr>
            <w:tcW w:w="885" w:type="dxa"/>
            <w:noWrap w:val="0"/>
            <w:vAlign w:val="center"/>
          </w:tcPr>
          <w:p>
            <w:pPr>
              <w:widowControl/>
              <w:spacing w:line="400" w:lineRule="exact"/>
              <w:jc w:val="center"/>
              <w:rPr>
                <w:color w:val="000000"/>
                <w:sz w:val="24"/>
              </w:rPr>
            </w:pPr>
            <w:r>
              <w:rPr>
                <w:color w:val="000000"/>
                <w:sz w:val="24"/>
              </w:rPr>
              <w:t>1</w:t>
            </w:r>
          </w:p>
        </w:tc>
        <w:tc>
          <w:tcPr>
            <w:tcW w:w="2721" w:type="dxa"/>
            <w:noWrap w:val="0"/>
            <w:vAlign w:val="center"/>
          </w:tcPr>
          <w:p>
            <w:pPr>
              <w:spacing w:line="400" w:lineRule="exact"/>
              <w:jc w:val="center"/>
              <w:rPr>
                <w:color w:val="000000"/>
                <w:sz w:val="24"/>
              </w:rPr>
            </w:pPr>
            <w:r>
              <w:rPr>
                <w:color w:val="000000"/>
                <w:sz w:val="24"/>
              </w:rPr>
              <w:t>规格尺寸</w:t>
            </w:r>
            <w:r>
              <w:rPr>
                <w:color w:val="000000"/>
                <w:sz w:val="24"/>
                <w:u w:val="single" w:color="FFFFFF"/>
              </w:rPr>
              <w:t>（外径、壁厚）</w:t>
            </w:r>
          </w:p>
        </w:tc>
        <w:tc>
          <w:tcPr>
            <w:tcW w:w="2443" w:type="dxa"/>
            <w:noWrap w:val="0"/>
            <w:vAlign w:val="center"/>
          </w:tcPr>
          <w:p>
            <w:pPr>
              <w:spacing w:line="400" w:lineRule="exact"/>
              <w:jc w:val="center"/>
              <w:rPr>
                <w:color w:val="000000"/>
                <w:sz w:val="24"/>
              </w:rPr>
            </w:pPr>
            <w:r>
              <w:rPr>
                <w:color w:val="000000"/>
                <w:sz w:val="24"/>
              </w:rPr>
              <w:t>GB/T 13663.2-2018</w:t>
            </w:r>
          </w:p>
        </w:tc>
        <w:tc>
          <w:tcPr>
            <w:tcW w:w="493" w:type="dxa"/>
            <w:noWrap w:val="0"/>
            <w:vAlign w:val="top"/>
          </w:tcPr>
          <w:p>
            <w:pPr>
              <w:adjustRightInd w:val="0"/>
              <w:spacing w:line="400" w:lineRule="exact"/>
              <w:jc w:val="center"/>
              <w:rPr>
                <w:color w:val="000000"/>
                <w:sz w:val="24"/>
              </w:rPr>
            </w:pPr>
          </w:p>
        </w:tc>
        <w:tc>
          <w:tcPr>
            <w:tcW w:w="472" w:type="dxa"/>
            <w:noWrap w:val="0"/>
            <w:vAlign w:val="top"/>
          </w:tcPr>
          <w:p>
            <w:pPr>
              <w:adjustRightInd w:val="0"/>
              <w:spacing w:line="400" w:lineRule="exact"/>
              <w:jc w:val="center"/>
              <w:rPr>
                <w:color w:val="000000"/>
                <w:sz w:val="24"/>
              </w:rPr>
            </w:pPr>
            <w:r>
              <w:rPr>
                <w:rFonts w:hint="eastAsia"/>
                <w:color w:val="000000"/>
                <w:sz w:val="24"/>
              </w:rPr>
              <w:t>●</w:t>
            </w:r>
          </w:p>
        </w:tc>
        <w:tc>
          <w:tcPr>
            <w:tcW w:w="514" w:type="dxa"/>
            <w:noWrap w:val="0"/>
            <w:vAlign w:val="top"/>
          </w:tcPr>
          <w:p>
            <w:pPr>
              <w:adjustRightInd w:val="0"/>
              <w:spacing w:line="400" w:lineRule="exact"/>
              <w:jc w:val="center"/>
              <w:rPr>
                <w:color w:val="000000"/>
                <w:sz w:val="24"/>
              </w:rPr>
            </w:pPr>
          </w:p>
        </w:tc>
        <w:tc>
          <w:tcPr>
            <w:tcW w:w="557" w:type="dxa"/>
            <w:noWrap w:val="0"/>
            <w:vAlign w:val="top"/>
          </w:tcPr>
          <w:p>
            <w:pPr>
              <w:spacing w:line="400" w:lineRule="exact"/>
              <w:jc w:val="center"/>
              <w:rPr>
                <w:color w:val="000000"/>
                <w:sz w:val="24"/>
              </w:rPr>
            </w:pPr>
            <w:r>
              <w:rPr>
                <w:rFonts w:hint="eastAsia"/>
                <w:color w:val="000000"/>
                <w:sz w:val="24"/>
              </w:rPr>
              <w:t>●</w:t>
            </w:r>
          </w:p>
        </w:tc>
        <w:tc>
          <w:tcPr>
            <w:tcW w:w="521" w:type="dxa"/>
            <w:noWrap w:val="0"/>
            <w:vAlign w:val="center"/>
          </w:tcPr>
          <w:p>
            <w:pPr>
              <w:spacing w:line="400" w:lineRule="exact"/>
              <w:jc w:val="center"/>
              <w:rPr>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885" w:type="dxa"/>
            <w:noWrap w:val="0"/>
            <w:vAlign w:val="center"/>
          </w:tcPr>
          <w:p>
            <w:pPr>
              <w:widowControl/>
              <w:spacing w:line="400" w:lineRule="exact"/>
              <w:jc w:val="center"/>
              <w:rPr>
                <w:color w:val="000000"/>
                <w:sz w:val="24"/>
              </w:rPr>
            </w:pPr>
            <w:r>
              <w:rPr>
                <w:color w:val="000000"/>
                <w:sz w:val="24"/>
              </w:rPr>
              <w:t>2</w:t>
            </w:r>
          </w:p>
        </w:tc>
        <w:tc>
          <w:tcPr>
            <w:tcW w:w="2721" w:type="dxa"/>
            <w:noWrap w:val="0"/>
            <w:vAlign w:val="center"/>
          </w:tcPr>
          <w:p>
            <w:pPr>
              <w:spacing w:line="400" w:lineRule="exact"/>
              <w:jc w:val="center"/>
              <w:rPr>
                <w:color w:val="000000"/>
                <w:sz w:val="24"/>
              </w:rPr>
            </w:pPr>
            <w:r>
              <w:rPr>
                <w:color w:val="000000"/>
                <w:sz w:val="24"/>
              </w:rPr>
              <w:t xml:space="preserve">静液压强度   </w:t>
            </w:r>
          </w:p>
          <w:p>
            <w:pPr>
              <w:spacing w:line="400" w:lineRule="exact"/>
              <w:jc w:val="center"/>
              <w:rPr>
                <w:color w:val="000000"/>
                <w:sz w:val="24"/>
              </w:rPr>
            </w:pPr>
            <w:r>
              <w:rPr>
                <w:color w:val="000000"/>
                <w:sz w:val="24"/>
              </w:rPr>
              <w:t>20℃ 100h</w:t>
            </w:r>
          </w:p>
        </w:tc>
        <w:tc>
          <w:tcPr>
            <w:tcW w:w="2443" w:type="dxa"/>
            <w:noWrap w:val="0"/>
            <w:vAlign w:val="center"/>
          </w:tcPr>
          <w:p>
            <w:pPr>
              <w:spacing w:line="400" w:lineRule="exact"/>
              <w:jc w:val="center"/>
              <w:rPr>
                <w:color w:val="000000"/>
                <w:sz w:val="24"/>
              </w:rPr>
            </w:pPr>
            <w:r>
              <w:rPr>
                <w:color w:val="000000"/>
                <w:sz w:val="24"/>
              </w:rPr>
              <w:t>GB/T 13663.2-2018</w:t>
            </w:r>
          </w:p>
        </w:tc>
        <w:tc>
          <w:tcPr>
            <w:tcW w:w="493" w:type="dxa"/>
            <w:noWrap w:val="0"/>
            <w:vAlign w:val="top"/>
          </w:tcPr>
          <w:p>
            <w:pPr>
              <w:adjustRightInd w:val="0"/>
              <w:spacing w:line="400" w:lineRule="exact"/>
              <w:jc w:val="center"/>
              <w:rPr>
                <w:color w:val="000000"/>
                <w:sz w:val="24"/>
              </w:rPr>
            </w:pPr>
          </w:p>
        </w:tc>
        <w:tc>
          <w:tcPr>
            <w:tcW w:w="472" w:type="dxa"/>
            <w:noWrap w:val="0"/>
            <w:vAlign w:val="top"/>
          </w:tcPr>
          <w:p>
            <w:pPr>
              <w:spacing w:line="400" w:lineRule="exact"/>
              <w:jc w:val="center"/>
              <w:rPr>
                <w:color w:val="000000"/>
                <w:sz w:val="24"/>
              </w:rPr>
            </w:pPr>
            <w:r>
              <w:rPr>
                <w:rFonts w:hint="eastAsia"/>
                <w:color w:val="000000"/>
                <w:sz w:val="24"/>
              </w:rPr>
              <w:t>●</w:t>
            </w:r>
          </w:p>
        </w:tc>
        <w:tc>
          <w:tcPr>
            <w:tcW w:w="514" w:type="dxa"/>
            <w:noWrap w:val="0"/>
            <w:vAlign w:val="top"/>
          </w:tcPr>
          <w:p>
            <w:pPr>
              <w:adjustRightInd w:val="0"/>
              <w:spacing w:line="400" w:lineRule="exact"/>
              <w:jc w:val="center"/>
              <w:rPr>
                <w:color w:val="000000"/>
                <w:sz w:val="24"/>
              </w:rPr>
            </w:pPr>
            <w:r>
              <w:rPr>
                <w:rFonts w:hint="eastAsia"/>
                <w:color w:val="000000"/>
                <w:sz w:val="24"/>
              </w:rPr>
              <w:t>●</w:t>
            </w:r>
          </w:p>
        </w:tc>
        <w:tc>
          <w:tcPr>
            <w:tcW w:w="557" w:type="dxa"/>
            <w:noWrap w:val="0"/>
            <w:vAlign w:val="top"/>
          </w:tcPr>
          <w:p>
            <w:pPr>
              <w:spacing w:line="400" w:lineRule="exact"/>
              <w:jc w:val="center"/>
              <w:rPr>
                <w:color w:val="000000"/>
                <w:sz w:val="24"/>
              </w:rPr>
            </w:pPr>
          </w:p>
        </w:tc>
        <w:tc>
          <w:tcPr>
            <w:tcW w:w="521" w:type="dxa"/>
            <w:noWrap w:val="0"/>
            <w:vAlign w:val="center"/>
          </w:tcPr>
          <w:p>
            <w:pPr>
              <w:spacing w:line="400" w:lineRule="exact"/>
              <w:jc w:val="center"/>
              <w:rPr>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885" w:type="dxa"/>
            <w:noWrap w:val="0"/>
            <w:vAlign w:val="center"/>
          </w:tcPr>
          <w:p>
            <w:pPr>
              <w:widowControl/>
              <w:spacing w:line="400" w:lineRule="exact"/>
              <w:jc w:val="center"/>
              <w:rPr>
                <w:color w:val="000000"/>
                <w:sz w:val="24"/>
              </w:rPr>
            </w:pPr>
            <w:r>
              <w:rPr>
                <w:color w:val="000000"/>
                <w:sz w:val="24"/>
              </w:rPr>
              <w:t>3</w:t>
            </w:r>
          </w:p>
        </w:tc>
        <w:tc>
          <w:tcPr>
            <w:tcW w:w="2721" w:type="dxa"/>
            <w:noWrap w:val="0"/>
            <w:vAlign w:val="center"/>
          </w:tcPr>
          <w:p>
            <w:pPr>
              <w:spacing w:line="400" w:lineRule="exact"/>
              <w:jc w:val="center"/>
              <w:rPr>
                <w:color w:val="000000"/>
                <w:sz w:val="24"/>
              </w:rPr>
            </w:pPr>
            <w:r>
              <w:rPr>
                <w:color w:val="000000"/>
                <w:sz w:val="24"/>
              </w:rPr>
              <w:t>断裂伸长率</w:t>
            </w:r>
          </w:p>
        </w:tc>
        <w:tc>
          <w:tcPr>
            <w:tcW w:w="2443" w:type="dxa"/>
            <w:noWrap w:val="0"/>
            <w:vAlign w:val="center"/>
          </w:tcPr>
          <w:p>
            <w:pPr>
              <w:spacing w:line="400" w:lineRule="exact"/>
              <w:jc w:val="center"/>
              <w:rPr>
                <w:color w:val="000000"/>
                <w:sz w:val="24"/>
              </w:rPr>
            </w:pPr>
            <w:r>
              <w:rPr>
                <w:color w:val="000000"/>
                <w:sz w:val="24"/>
              </w:rPr>
              <w:t>GB/T 13663.2-2018</w:t>
            </w:r>
          </w:p>
        </w:tc>
        <w:tc>
          <w:tcPr>
            <w:tcW w:w="493" w:type="dxa"/>
            <w:noWrap w:val="0"/>
            <w:vAlign w:val="top"/>
          </w:tcPr>
          <w:p>
            <w:pPr>
              <w:adjustRightInd w:val="0"/>
              <w:spacing w:line="400" w:lineRule="exact"/>
              <w:jc w:val="center"/>
              <w:rPr>
                <w:color w:val="000000"/>
                <w:sz w:val="24"/>
              </w:rPr>
            </w:pPr>
          </w:p>
        </w:tc>
        <w:tc>
          <w:tcPr>
            <w:tcW w:w="472" w:type="dxa"/>
            <w:noWrap w:val="0"/>
            <w:vAlign w:val="top"/>
          </w:tcPr>
          <w:p>
            <w:pPr>
              <w:spacing w:line="400" w:lineRule="exact"/>
              <w:jc w:val="center"/>
              <w:rPr>
                <w:color w:val="000000"/>
                <w:sz w:val="24"/>
              </w:rPr>
            </w:pPr>
            <w:r>
              <w:rPr>
                <w:rFonts w:hint="eastAsia"/>
                <w:color w:val="000000"/>
                <w:sz w:val="24"/>
              </w:rPr>
              <w:t>●</w:t>
            </w:r>
          </w:p>
        </w:tc>
        <w:tc>
          <w:tcPr>
            <w:tcW w:w="514" w:type="dxa"/>
            <w:noWrap w:val="0"/>
            <w:vAlign w:val="top"/>
          </w:tcPr>
          <w:p>
            <w:pPr>
              <w:adjustRightInd w:val="0"/>
              <w:spacing w:line="400" w:lineRule="exact"/>
              <w:jc w:val="center"/>
              <w:rPr>
                <w:color w:val="000000"/>
                <w:sz w:val="24"/>
              </w:rPr>
            </w:pPr>
          </w:p>
        </w:tc>
        <w:tc>
          <w:tcPr>
            <w:tcW w:w="557" w:type="dxa"/>
            <w:noWrap w:val="0"/>
            <w:vAlign w:val="top"/>
          </w:tcPr>
          <w:p>
            <w:pPr>
              <w:spacing w:line="400" w:lineRule="exact"/>
              <w:jc w:val="center"/>
              <w:rPr>
                <w:color w:val="000000"/>
                <w:sz w:val="24"/>
              </w:rPr>
            </w:pPr>
            <w:r>
              <w:rPr>
                <w:rFonts w:hint="eastAsia"/>
                <w:color w:val="000000"/>
                <w:sz w:val="24"/>
              </w:rPr>
              <w:t>●</w:t>
            </w:r>
          </w:p>
        </w:tc>
        <w:tc>
          <w:tcPr>
            <w:tcW w:w="521" w:type="dxa"/>
            <w:noWrap w:val="0"/>
            <w:vAlign w:val="center"/>
          </w:tcPr>
          <w:p>
            <w:pPr>
              <w:spacing w:line="400" w:lineRule="exact"/>
              <w:jc w:val="center"/>
              <w:rPr>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885" w:type="dxa"/>
            <w:noWrap w:val="0"/>
            <w:vAlign w:val="center"/>
          </w:tcPr>
          <w:p>
            <w:pPr>
              <w:widowControl/>
              <w:spacing w:line="400" w:lineRule="exact"/>
              <w:jc w:val="center"/>
              <w:rPr>
                <w:color w:val="000000"/>
                <w:sz w:val="24"/>
              </w:rPr>
            </w:pPr>
            <w:r>
              <w:rPr>
                <w:color w:val="000000"/>
                <w:sz w:val="24"/>
              </w:rPr>
              <w:t>4</w:t>
            </w:r>
          </w:p>
        </w:tc>
        <w:tc>
          <w:tcPr>
            <w:tcW w:w="2721" w:type="dxa"/>
            <w:noWrap w:val="0"/>
            <w:vAlign w:val="center"/>
          </w:tcPr>
          <w:p>
            <w:pPr>
              <w:spacing w:line="400" w:lineRule="exact"/>
              <w:jc w:val="center"/>
              <w:rPr>
                <w:color w:val="000000"/>
                <w:sz w:val="24"/>
              </w:rPr>
            </w:pPr>
            <w:r>
              <w:rPr>
                <w:color w:val="000000"/>
                <w:sz w:val="24"/>
              </w:rPr>
              <w:t>纵向回缩率</w:t>
            </w:r>
          </w:p>
        </w:tc>
        <w:tc>
          <w:tcPr>
            <w:tcW w:w="2443" w:type="dxa"/>
            <w:noWrap w:val="0"/>
            <w:vAlign w:val="center"/>
          </w:tcPr>
          <w:p>
            <w:pPr>
              <w:spacing w:line="400" w:lineRule="exact"/>
              <w:jc w:val="center"/>
              <w:rPr>
                <w:color w:val="000000"/>
                <w:sz w:val="24"/>
              </w:rPr>
            </w:pPr>
            <w:r>
              <w:rPr>
                <w:color w:val="000000"/>
                <w:sz w:val="24"/>
              </w:rPr>
              <w:t>GB/T 13663.2-2018</w:t>
            </w:r>
          </w:p>
        </w:tc>
        <w:tc>
          <w:tcPr>
            <w:tcW w:w="493" w:type="dxa"/>
            <w:noWrap w:val="0"/>
            <w:vAlign w:val="top"/>
          </w:tcPr>
          <w:p>
            <w:pPr>
              <w:adjustRightInd w:val="0"/>
              <w:spacing w:line="400" w:lineRule="exact"/>
              <w:jc w:val="center"/>
              <w:rPr>
                <w:color w:val="000000"/>
                <w:sz w:val="24"/>
              </w:rPr>
            </w:pPr>
          </w:p>
        </w:tc>
        <w:tc>
          <w:tcPr>
            <w:tcW w:w="472" w:type="dxa"/>
            <w:noWrap w:val="0"/>
            <w:vAlign w:val="top"/>
          </w:tcPr>
          <w:p>
            <w:pPr>
              <w:spacing w:line="400" w:lineRule="exact"/>
              <w:jc w:val="center"/>
              <w:rPr>
                <w:color w:val="000000"/>
                <w:sz w:val="24"/>
              </w:rPr>
            </w:pPr>
            <w:r>
              <w:rPr>
                <w:rFonts w:hint="eastAsia"/>
                <w:color w:val="000000"/>
                <w:sz w:val="24"/>
              </w:rPr>
              <w:t>●</w:t>
            </w:r>
          </w:p>
        </w:tc>
        <w:tc>
          <w:tcPr>
            <w:tcW w:w="514" w:type="dxa"/>
            <w:noWrap w:val="0"/>
            <w:vAlign w:val="top"/>
          </w:tcPr>
          <w:p>
            <w:pPr>
              <w:spacing w:line="400" w:lineRule="exact"/>
              <w:jc w:val="center"/>
              <w:rPr>
                <w:color w:val="000000"/>
                <w:sz w:val="24"/>
              </w:rPr>
            </w:pPr>
          </w:p>
        </w:tc>
        <w:tc>
          <w:tcPr>
            <w:tcW w:w="557" w:type="dxa"/>
            <w:noWrap w:val="0"/>
            <w:vAlign w:val="top"/>
          </w:tcPr>
          <w:p>
            <w:pPr>
              <w:spacing w:line="400" w:lineRule="exact"/>
              <w:jc w:val="center"/>
              <w:rPr>
                <w:color w:val="000000"/>
                <w:sz w:val="24"/>
              </w:rPr>
            </w:pPr>
            <w:r>
              <w:rPr>
                <w:rFonts w:hint="eastAsia"/>
                <w:color w:val="000000"/>
                <w:sz w:val="24"/>
              </w:rPr>
              <w:t>●</w:t>
            </w:r>
          </w:p>
        </w:tc>
        <w:tc>
          <w:tcPr>
            <w:tcW w:w="521" w:type="dxa"/>
            <w:noWrap w:val="0"/>
            <w:vAlign w:val="center"/>
          </w:tcPr>
          <w:p>
            <w:pPr>
              <w:spacing w:line="400" w:lineRule="exact"/>
              <w:jc w:val="center"/>
              <w:rPr>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885" w:type="dxa"/>
            <w:noWrap w:val="0"/>
            <w:vAlign w:val="center"/>
          </w:tcPr>
          <w:p>
            <w:pPr>
              <w:widowControl/>
              <w:spacing w:line="400" w:lineRule="exact"/>
              <w:jc w:val="center"/>
              <w:rPr>
                <w:color w:val="000000"/>
                <w:sz w:val="24"/>
              </w:rPr>
            </w:pPr>
            <w:r>
              <w:rPr>
                <w:color w:val="000000"/>
                <w:sz w:val="24"/>
              </w:rPr>
              <w:t>5</w:t>
            </w:r>
          </w:p>
        </w:tc>
        <w:tc>
          <w:tcPr>
            <w:tcW w:w="2721" w:type="dxa"/>
            <w:noWrap w:val="0"/>
            <w:vAlign w:val="center"/>
          </w:tcPr>
          <w:p>
            <w:pPr>
              <w:spacing w:line="400" w:lineRule="exact"/>
              <w:jc w:val="center"/>
              <w:rPr>
                <w:color w:val="000000"/>
                <w:sz w:val="24"/>
              </w:rPr>
            </w:pPr>
            <w:r>
              <w:rPr>
                <w:color w:val="000000"/>
                <w:sz w:val="24"/>
              </w:rPr>
              <w:t>氧化诱导时间</w:t>
            </w:r>
          </w:p>
        </w:tc>
        <w:tc>
          <w:tcPr>
            <w:tcW w:w="2443" w:type="dxa"/>
            <w:noWrap w:val="0"/>
            <w:vAlign w:val="center"/>
          </w:tcPr>
          <w:p>
            <w:pPr>
              <w:spacing w:line="400" w:lineRule="exact"/>
              <w:jc w:val="center"/>
              <w:rPr>
                <w:color w:val="000000"/>
                <w:sz w:val="24"/>
              </w:rPr>
            </w:pPr>
            <w:r>
              <w:rPr>
                <w:color w:val="000000"/>
                <w:sz w:val="24"/>
              </w:rPr>
              <w:t>GB/T 13663.2-2018</w:t>
            </w:r>
          </w:p>
        </w:tc>
        <w:tc>
          <w:tcPr>
            <w:tcW w:w="493" w:type="dxa"/>
            <w:noWrap w:val="0"/>
            <w:vAlign w:val="top"/>
          </w:tcPr>
          <w:p>
            <w:pPr>
              <w:adjustRightInd w:val="0"/>
              <w:spacing w:line="400" w:lineRule="exact"/>
              <w:jc w:val="center"/>
              <w:rPr>
                <w:color w:val="000000"/>
                <w:sz w:val="24"/>
              </w:rPr>
            </w:pPr>
          </w:p>
        </w:tc>
        <w:tc>
          <w:tcPr>
            <w:tcW w:w="472" w:type="dxa"/>
            <w:noWrap w:val="0"/>
            <w:vAlign w:val="top"/>
          </w:tcPr>
          <w:p>
            <w:pPr>
              <w:spacing w:line="400" w:lineRule="exact"/>
              <w:jc w:val="center"/>
              <w:rPr>
                <w:color w:val="000000"/>
                <w:sz w:val="24"/>
              </w:rPr>
            </w:pPr>
            <w:r>
              <w:rPr>
                <w:rFonts w:hint="eastAsia"/>
                <w:color w:val="000000"/>
                <w:sz w:val="24"/>
              </w:rPr>
              <w:t>●</w:t>
            </w:r>
          </w:p>
        </w:tc>
        <w:tc>
          <w:tcPr>
            <w:tcW w:w="514" w:type="dxa"/>
            <w:noWrap w:val="0"/>
            <w:vAlign w:val="top"/>
          </w:tcPr>
          <w:p>
            <w:pPr>
              <w:spacing w:line="400" w:lineRule="exact"/>
              <w:jc w:val="center"/>
              <w:rPr>
                <w:color w:val="000000"/>
                <w:sz w:val="24"/>
              </w:rPr>
            </w:pPr>
          </w:p>
        </w:tc>
        <w:tc>
          <w:tcPr>
            <w:tcW w:w="557" w:type="dxa"/>
            <w:noWrap w:val="0"/>
            <w:vAlign w:val="top"/>
          </w:tcPr>
          <w:p>
            <w:pPr>
              <w:spacing w:line="400" w:lineRule="exact"/>
              <w:jc w:val="center"/>
              <w:rPr>
                <w:color w:val="000000"/>
                <w:sz w:val="24"/>
              </w:rPr>
            </w:pPr>
            <w:r>
              <w:rPr>
                <w:rFonts w:hint="eastAsia"/>
                <w:color w:val="000000"/>
                <w:sz w:val="24"/>
              </w:rPr>
              <w:t>●</w:t>
            </w:r>
          </w:p>
        </w:tc>
        <w:tc>
          <w:tcPr>
            <w:tcW w:w="521" w:type="dxa"/>
            <w:noWrap w:val="0"/>
            <w:vAlign w:val="center"/>
          </w:tcPr>
          <w:p>
            <w:pPr>
              <w:spacing w:line="400" w:lineRule="exact"/>
              <w:jc w:val="center"/>
              <w:rPr>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885" w:type="dxa"/>
            <w:noWrap w:val="0"/>
            <w:vAlign w:val="center"/>
          </w:tcPr>
          <w:p>
            <w:pPr>
              <w:widowControl/>
              <w:spacing w:line="400" w:lineRule="exact"/>
              <w:jc w:val="center"/>
              <w:rPr>
                <w:color w:val="000000"/>
                <w:sz w:val="24"/>
              </w:rPr>
            </w:pPr>
            <w:r>
              <w:rPr>
                <w:color w:val="000000"/>
                <w:sz w:val="24"/>
              </w:rPr>
              <w:t>6</w:t>
            </w:r>
          </w:p>
        </w:tc>
        <w:tc>
          <w:tcPr>
            <w:tcW w:w="2721" w:type="dxa"/>
            <w:noWrap w:val="0"/>
            <w:vAlign w:val="center"/>
          </w:tcPr>
          <w:p>
            <w:pPr>
              <w:spacing w:line="400" w:lineRule="exact"/>
              <w:jc w:val="center"/>
              <w:rPr>
                <w:color w:val="000000"/>
                <w:sz w:val="24"/>
              </w:rPr>
            </w:pPr>
            <w:r>
              <w:rPr>
                <w:color w:val="000000"/>
                <w:sz w:val="24"/>
              </w:rPr>
              <w:t>灰分</w:t>
            </w:r>
          </w:p>
        </w:tc>
        <w:tc>
          <w:tcPr>
            <w:tcW w:w="2443" w:type="dxa"/>
            <w:noWrap w:val="0"/>
            <w:vAlign w:val="center"/>
          </w:tcPr>
          <w:p>
            <w:pPr>
              <w:spacing w:line="400" w:lineRule="exact"/>
              <w:jc w:val="center"/>
              <w:rPr>
                <w:color w:val="000000"/>
                <w:sz w:val="24"/>
              </w:rPr>
            </w:pPr>
            <w:r>
              <w:rPr>
                <w:color w:val="000000"/>
                <w:sz w:val="24"/>
              </w:rPr>
              <w:t>GB/T 13663.2-2018</w:t>
            </w:r>
          </w:p>
        </w:tc>
        <w:tc>
          <w:tcPr>
            <w:tcW w:w="493" w:type="dxa"/>
            <w:noWrap w:val="0"/>
            <w:vAlign w:val="top"/>
          </w:tcPr>
          <w:p>
            <w:pPr>
              <w:adjustRightInd w:val="0"/>
              <w:spacing w:line="400" w:lineRule="exact"/>
              <w:jc w:val="center"/>
              <w:rPr>
                <w:color w:val="000000"/>
                <w:sz w:val="24"/>
              </w:rPr>
            </w:pPr>
          </w:p>
        </w:tc>
        <w:tc>
          <w:tcPr>
            <w:tcW w:w="472" w:type="dxa"/>
            <w:noWrap w:val="0"/>
            <w:vAlign w:val="top"/>
          </w:tcPr>
          <w:p>
            <w:pPr>
              <w:spacing w:line="400" w:lineRule="exact"/>
              <w:jc w:val="center"/>
              <w:rPr>
                <w:color w:val="000000"/>
                <w:sz w:val="24"/>
              </w:rPr>
            </w:pPr>
            <w:r>
              <w:rPr>
                <w:rFonts w:hint="eastAsia"/>
                <w:color w:val="000000"/>
                <w:sz w:val="24"/>
              </w:rPr>
              <w:t>●</w:t>
            </w:r>
          </w:p>
        </w:tc>
        <w:tc>
          <w:tcPr>
            <w:tcW w:w="514" w:type="dxa"/>
            <w:noWrap w:val="0"/>
            <w:vAlign w:val="top"/>
          </w:tcPr>
          <w:p>
            <w:pPr>
              <w:spacing w:line="400" w:lineRule="exact"/>
              <w:jc w:val="center"/>
              <w:rPr>
                <w:color w:val="000000"/>
                <w:sz w:val="24"/>
              </w:rPr>
            </w:pPr>
            <w:r>
              <w:rPr>
                <w:rFonts w:hint="eastAsia"/>
                <w:color w:val="000000"/>
                <w:sz w:val="24"/>
              </w:rPr>
              <w:t>●</w:t>
            </w:r>
          </w:p>
        </w:tc>
        <w:tc>
          <w:tcPr>
            <w:tcW w:w="557" w:type="dxa"/>
            <w:noWrap w:val="0"/>
            <w:vAlign w:val="top"/>
          </w:tcPr>
          <w:p>
            <w:pPr>
              <w:spacing w:line="400" w:lineRule="exact"/>
              <w:jc w:val="center"/>
              <w:rPr>
                <w:color w:val="000000"/>
                <w:sz w:val="24"/>
              </w:rPr>
            </w:pPr>
          </w:p>
        </w:tc>
        <w:tc>
          <w:tcPr>
            <w:tcW w:w="521" w:type="dxa"/>
            <w:noWrap w:val="0"/>
            <w:vAlign w:val="center"/>
          </w:tcPr>
          <w:p>
            <w:pPr>
              <w:spacing w:line="400" w:lineRule="exact"/>
              <w:jc w:val="center"/>
              <w:rPr>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885" w:type="dxa"/>
            <w:noWrap w:val="0"/>
            <w:vAlign w:val="center"/>
          </w:tcPr>
          <w:p>
            <w:pPr>
              <w:widowControl/>
              <w:spacing w:line="400" w:lineRule="exact"/>
              <w:jc w:val="center"/>
              <w:rPr>
                <w:color w:val="000000"/>
                <w:sz w:val="24"/>
              </w:rPr>
            </w:pPr>
            <w:r>
              <w:rPr>
                <w:color w:val="000000"/>
                <w:sz w:val="24"/>
              </w:rPr>
              <w:t>7</w:t>
            </w:r>
          </w:p>
        </w:tc>
        <w:tc>
          <w:tcPr>
            <w:tcW w:w="2721" w:type="dxa"/>
            <w:noWrap w:val="0"/>
            <w:vAlign w:val="center"/>
          </w:tcPr>
          <w:p>
            <w:pPr>
              <w:spacing w:line="400" w:lineRule="exact"/>
              <w:jc w:val="center"/>
              <w:rPr>
                <w:color w:val="000000"/>
                <w:sz w:val="24"/>
              </w:rPr>
            </w:pPr>
            <w:r>
              <w:rPr>
                <w:color w:val="000000"/>
                <w:sz w:val="24"/>
              </w:rPr>
              <w:t>卫生性能*</w:t>
            </w:r>
          </w:p>
        </w:tc>
        <w:tc>
          <w:tcPr>
            <w:tcW w:w="2443" w:type="dxa"/>
            <w:noWrap w:val="0"/>
            <w:vAlign w:val="center"/>
          </w:tcPr>
          <w:p>
            <w:pPr>
              <w:spacing w:line="400" w:lineRule="exact"/>
              <w:jc w:val="center"/>
              <w:rPr>
                <w:color w:val="000000"/>
                <w:sz w:val="24"/>
              </w:rPr>
            </w:pPr>
            <w:r>
              <w:rPr>
                <w:color w:val="000000"/>
                <w:sz w:val="24"/>
              </w:rPr>
              <w:t>GB/T 13663.2-2018</w:t>
            </w:r>
          </w:p>
        </w:tc>
        <w:tc>
          <w:tcPr>
            <w:tcW w:w="493" w:type="dxa"/>
            <w:noWrap w:val="0"/>
            <w:vAlign w:val="top"/>
          </w:tcPr>
          <w:p>
            <w:pPr>
              <w:adjustRightInd w:val="0"/>
              <w:spacing w:line="400" w:lineRule="exact"/>
              <w:jc w:val="center"/>
              <w:rPr>
                <w:color w:val="000000"/>
                <w:sz w:val="24"/>
              </w:rPr>
            </w:pPr>
          </w:p>
        </w:tc>
        <w:tc>
          <w:tcPr>
            <w:tcW w:w="472" w:type="dxa"/>
            <w:noWrap w:val="0"/>
            <w:vAlign w:val="top"/>
          </w:tcPr>
          <w:p>
            <w:pPr>
              <w:spacing w:line="400" w:lineRule="exact"/>
              <w:jc w:val="center"/>
              <w:rPr>
                <w:color w:val="000000"/>
                <w:sz w:val="24"/>
              </w:rPr>
            </w:pPr>
            <w:r>
              <w:rPr>
                <w:rFonts w:hint="eastAsia"/>
                <w:color w:val="000000"/>
                <w:sz w:val="24"/>
              </w:rPr>
              <w:t>●</w:t>
            </w:r>
          </w:p>
        </w:tc>
        <w:tc>
          <w:tcPr>
            <w:tcW w:w="514" w:type="dxa"/>
            <w:noWrap w:val="0"/>
            <w:vAlign w:val="top"/>
          </w:tcPr>
          <w:p>
            <w:pPr>
              <w:spacing w:line="400" w:lineRule="exact"/>
              <w:jc w:val="center"/>
              <w:rPr>
                <w:color w:val="000000"/>
                <w:sz w:val="24"/>
              </w:rPr>
            </w:pPr>
            <w:r>
              <w:rPr>
                <w:rFonts w:hint="eastAsia"/>
                <w:color w:val="000000"/>
                <w:sz w:val="24"/>
              </w:rPr>
              <w:t>●</w:t>
            </w:r>
          </w:p>
        </w:tc>
        <w:tc>
          <w:tcPr>
            <w:tcW w:w="557" w:type="dxa"/>
            <w:noWrap w:val="0"/>
            <w:vAlign w:val="top"/>
          </w:tcPr>
          <w:p>
            <w:pPr>
              <w:spacing w:line="400" w:lineRule="exact"/>
              <w:jc w:val="center"/>
              <w:rPr>
                <w:color w:val="000000"/>
                <w:sz w:val="24"/>
              </w:rPr>
            </w:pPr>
          </w:p>
        </w:tc>
        <w:tc>
          <w:tcPr>
            <w:tcW w:w="521" w:type="dxa"/>
            <w:noWrap w:val="0"/>
            <w:vAlign w:val="center"/>
          </w:tcPr>
          <w:p>
            <w:pPr>
              <w:spacing w:line="400" w:lineRule="exact"/>
              <w:jc w:val="center"/>
              <w:rPr>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8606" w:type="dxa"/>
            <w:gridSpan w:val="8"/>
            <w:noWrap w:val="0"/>
            <w:vAlign w:val="center"/>
          </w:tcPr>
          <w:p>
            <w:pPr>
              <w:widowControl/>
              <w:spacing w:line="400" w:lineRule="exact"/>
              <w:rPr>
                <w:color w:val="000000"/>
                <w:sz w:val="24"/>
              </w:rPr>
            </w:pPr>
            <w:r>
              <w:rPr>
                <w:color w:val="000000"/>
                <w:sz w:val="24"/>
              </w:rPr>
              <w:t>卫生性能*检验项目为：铅、镉、高锰酸钾消耗量</w:t>
            </w:r>
          </w:p>
        </w:tc>
      </w:tr>
    </w:tbl>
    <w:p>
      <w:pPr>
        <w:widowControl/>
        <w:adjustRightInd w:val="0"/>
        <w:snapToGrid w:val="0"/>
        <w:spacing w:line="590" w:lineRule="exact"/>
        <w:ind w:firstLine="640" w:firstLineChars="200"/>
        <w:rPr>
          <w:rFonts w:eastAsia="黑体" w:cs="黑体"/>
          <w:sz w:val="32"/>
          <w:szCs w:val="32"/>
        </w:rPr>
      </w:pPr>
      <w:r>
        <w:rPr>
          <w:rFonts w:hint="eastAsia" w:eastAsia="黑体" w:cs="黑体"/>
          <w:sz w:val="32"/>
          <w:szCs w:val="32"/>
        </w:rPr>
        <w:t>六、本细则未明确的监督抽查抽样检验相关技术规范，均按照《产品质量监督抽查管理暂行办法》（国家市场监督管理总局第18号令）、《产品质量监督抽查抽样检验技术服务规范》（T/GDAQI 020-2020）规定执行。</w:t>
      </w:r>
    </w:p>
    <w:p>
      <w:pPr>
        <w:widowControl/>
        <w:adjustRightInd w:val="0"/>
        <w:snapToGrid w:val="0"/>
        <w:spacing w:line="590" w:lineRule="exact"/>
        <w:ind w:firstLine="640" w:firstLineChars="200"/>
        <w:rPr>
          <w:rFonts w:eastAsia="仿宋_GB2312"/>
          <w:sz w:val="32"/>
          <w:szCs w:val="32"/>
        </w:rPr>
      </w:pPr>
      <w:r>
        <w:rPr>
          <w:rFonts w:hint="eastAsia" w:eastAsia="仿宋_GB2312"/>
          <w:sz w:val="32"/>
          <w:szCs w:val="32"/>
        </w:rPr>
        <w:t>被抽样生产者、销售者对检验结论有异议的，应提出书面复检申请并阐明理由，向</w:t>
      </w:r>
      <w:r>
        <w:rPr>
          <w:rFonts w:hint="eastAsia" w:eastAsia="仿宋_GB2312"/>
          <w:color w:val="000000"/>
          <w:sz w:val="32"/>
          <w:szCs w:val="32"/>
        </w:rPr>
        <w:t>河源</w:t>
      </w:r>
      <w:r>
        <w:rPr>
          <w:rFonts w:hint="eastAsia" w:eastAsia="仿宋_GB2312"/>
          <w:sz w:val="32"/>
          <w:szCs w:val="32"/>
        </w:rPr>
        <w:t>市市场监督管理局提出，由</w:t>
      </w:r>
      <w:r>
        <w:rPr>
          <w:rFonts w:hint="eastAsia" w:eastAsia="仿宋_GB2312"/>
          <w:color w:val="000000"/>
          <w:sz w:val="32"/>
          <w:szCs w:val="32"/>
        </w:rPr>
        <w:t>河源</w:t>
      </w:r>
      <w:r>
        <w:rPr>
          <w:rFonts w:hint="eastAsia" w:eastAsia="仿宋_GB2312"/>
          <w:sz w:val="32"/>
          <w:szCs w:val="32"/>
        </w:rPr>
        <w:t>市市场监督管理局依法依规处理。</w:t>
      </w:r>
    </w:p>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9AF6779"/>
    <w:rsid w:val="098E3B6C"/>
    <w:rsid w:val="09AF6779"/>
    <w:rsid w:val="0C8C6465"/>
    <w:rsid w:val="0CF90085"/>
    <w:rsid w:val="2BA5531B"/>
    <w:rsid w:val="302B149B"/>
    <w:rsid w:val="35F95B72"/>
    <w:rsid w:val="4FC52F22"/>
    <w:rsid w:val="66251EA0"/>
    <w:rsid w:val="6D1A55C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5">
    <w:name w:val="Table Grid"/>
    <w:basedOn w:val="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7</TotalTime>
  <ScaleCrop>false</ScaleCrop>
  <LinksUpToDate>false</LinksUpToDate>
  <CharactersWithSpaces>0</CharactersWithSpaces>
  <Application>WPS Office_11.1.0.10502_F1E327BC-269C-435d-A152-05C5408002CA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2021-03-03T07:11:00Z</dcterms:created>
  <dc:creator>我心飞翔</dc:creator>
  <cp:lastModifiedBy>我心飞翔</cp:lastModifiedBy>
  <dcterms:modified xsi:type="dcterms:W3CDTF">2021-08-12T09:24:46Z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2052-11.1.0.10502</vt:lpwstr>
  </property>
  <property fmtid="{D5CDD505-2E9C-101B-9397-08002B2CF9AE}" pid="3" name="ICV">
    <vt:lpwstr>36E158124DFE481484F626C25A45FEC4</vt:lpwstr>
  </property>
</Properties>
</file>