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bCs/>
          <w:sz w:val="36"/>
          <w:szCs w:val="36"/>
          <w:lang w:eastAsia="zh-CN"/>
        </w:rPr>
      </w:pPr>
      <w:bookmarkStart w:id="30" w:name="_GoBack"/>
      <w:r>
        <w:rPr>
          <w:rFonts w:hint="eastAsia" w:ascii="宋体" w:hAnsi="宋体" w:eastAsia="宋体" w:cs="宋体"/>
          <w:b/>
          <w:bCs/>
          <w:sz w:val="36"/>
          <w:szCs w:val="36"/>
          <w:lang w:eastAsia="zh-CN"/>
        </w:rPr>
        <w:t>《河源市中心城区商业网点（</w:t>
      </w:r>
      <w:r>
        <w:rPr>
          <w:rFonts w:hint="eastAsia" w:ascii="宋体" w:hAnsi="宋体" w:eastAsia="宋体" w:cs="宋体"/>
          <w:b/>
          <w:bCs/>
          <w:sz w:val="36"/>
          <w:szCs w:val="36"/>
          <w:lang w:val="en-US" w:eastAsia="zh-CN"/>
        </w:rPr>
        <w:t>2017-2025年</w:t>
      </w:r>
      <w:r>
        <w:rPr>
          <w:rFonts w:hint="eastAsia" w:ascii="宋体" w:hAnsi="宋体" w:eastAsia="宋体" w:cs="宋体"/>
          <w:b/>
          <w:bCs/>
          <w:sz w:val="36"/>
          <w:szCs w:val="36"/>
          <w:lang w:eastAsia="zh-CN"/>
        </w:rPr>
        <w:t>）》公示稿</w:t>
      </w:r>
      <w:bookmarkEnd w:id="30"/>
    </w:p>
    <w:p>
      <w:pPr>
        <w:pStyle w:val="2"/>
      </w:pPr>
      <w:bookmarkStart w:id="0" w:name="_Toc505769255"/>
      <w:bookmarkStart w:id="1" w:name="_Toc455131330"/>
      <w:r>
        <w:rPr>
          <w:rFonts w:hint="eastAsia"/>
        </w:rPr>
        <w:t>总则</w:t>
      </w:r>
      <w:bookmarkEnd w:id="0"/>
      <w:bookmarkEnd w:id="1"/>
    </w:p>
    <w:p>
      <w:pPr>
        <w:pStyle w:val="3"/>
      </w:pPr>
      <w:bookmarkStart w:id="2" w:name="_Toc505769256"/>
      <w:bookmarkStart w:id="3" w:name="_Toc455131331"/>
      <w:r>
        <w:rPr>
          <w:rFonts w:hint="eastAsia"/>
        </w:rPr>
        <w:t>规划范围</w:t>
      </w:r>
      <w:bookmarkEnd w:id="2"/>
      <w:bookmarkEnd w:id="3"/>
    </w:p>
    <w:p>
      <w:r>
        <w:rPr>
          <w:rFonts w:hint="eastAsia"/>
        </w:rPr>
        <w:t>本次规划范围为《河源市</w:t>
      </w:r>
      <w:r>
        <w:t>城市总体规划（</w:t>
      </w:r>
      <w:r>
        <w:rPr>
          <w:rFonts w:hint="eastAsia"/>
        </w:rPr>
        <w:t>2009-2020年</w:t>
      </w:r>
      <w:r>
        <w:t>）》</w:t>
      </w:r>
      <w:r>
        <w:rPr>
          <w:rFonts w:hint="eastAsia"/>
        </w:rPr>
        <w:t>确定的中心城区，包括</w:t>
      </w:r>
      <w:r>
        <w:rPr>
          <w:rFonts w:hint="eastAsia"/>
          <w:b/>
        </w:rPr>
        <w:t>源城区</w:t>
      </w:r>
      <w:r>
        <w:rPr>
          <w:rFonts w:hint="eastAsia"/>
        </w:rPr>
        <w:t>、</w:t>
      </w:r>
      <w:r>
        <w:rPr>
          <w:rFonts w:hint="eastAsia"/>
          <w:b/>
        </w:rPr>
        <w:t>东源县仙塘镇和新港镇</w:t>
      </w:r>
      <w:r>
        <w:rPr>
          <w:rFonts w:hint="eastAsia"/>
        </w:rPr>
        <w:t>（以下简称</w:t>
      </w:r>
      <w:r>
        <w:rPr>
          <w:rFonts w:hint="eastAsia"/>
          <w:b/>
        </w:rPr>
        <w:t>东源镇区</w:t>
      </w:r>
      <w:r>
        <w:rPr>
          <w:rFonts w:hint="eastAsia"/>
        </w:rPr>
        <w:t>）、</w:t>
      </w:r>
      <w:r>
        <w:rPr>
          <w:rFonts w:hint="eastAsia"/>
          <w:b/>
        </w:rPr>
        <w:t>紫金县临江镇和古竹镇</w:t>
      </w:r>
      <w:r>
        <w:rPr>
          <w:rFonts w:hint="eastAsia"/>
        </w:rPr>
        <w:t>（以下简称</w:t>
      </w:r>
      <w:r>
        <w:rPr>
          <w:rFonts w:hint="eastAsia"/>
          <w:b/>
        </w:rPr>
        <w:t>临江古竹</w:t>
      </w:r>
      <w:r>
        <w:rPr>
          <w:rFonts w:hint="eastAsia"/>
        </w:rPr>
        <w:t>）的城镇集中建设区，总面积约为</w:t>
      </w:r>
      <w:r>
        <w:rPr>
          <w:rFonts w:hint="eastAsia"/>
          <w:b/>
        </w:rPr>
        <w:t>250平方公里</w:t>
      </w:r>
      <w:r>
        <w:rPr>
          <w:rFonts w:hint="eastAsia"/>
        </w:rPr>
        <w:t>。</w:t>
      </w:r>
    </w:p>
    <w:p>
      <w:pPr>
        <w:pStyle w:val="3"/>
      </w:pPr>
      <w:bookmarkStart w:id="4" w:name="_Toc455131332"/>
      <w:bookmarkStart w:id="5" w:name="_Toc505769257"/>
      <w:r>
        <w:rPr>
          <w:rFonts w:hint="eastAsia"/>
        </w:rPr>
        <w:t>规划内容</w:t>
      </w:r>
      <w:bookmarkEnd w:id="4"/>
      <w:bookmarkEnd w:id="5"/>
    </w:p>
    <w:p>
      <w:r>
        <w:rPr>
          <w:rFonts w:hint="eastAsia"/>
        </w:rPr>
        <w:t>规划对象主要包括</w:t>
      </w:r>
      <w:r>
        <w:rPr>
          <w:rFonts w:hint="eastAsia"/>
          <w:b/>
        </w:rPr>
        <w:t>城市商业中心</w:t>
      </w:r>
      <w:r>
        <w:rPr>
          <w:rFonts w:hint="eastAsia"/>
        </w:rPr>
        <w:t>、</w:t>
      </w:r>
      <w:r>
        <w:rPr>
          <w:rFonts w:hint="eastAsia"/>
          <w:b/>
        </w:rPr>
        <w:t>商业业态</w:t>
      </w:r>
      <w:r>
        <w:rPr>
          <w:rFonts w:hint="eastAsia"/>
        </w:rPr>
        <w:t>和</w:t>
      </w:r>
      <w:r>
        <w:rPr>
          <w:rFonts w:hint="eastAsia"/>
          <w:b/>
        </w:rPr>
        <w:t>商业网点配套</w:t>
      </w:r>
      <w:r>
        <w:rPr>
          <w:rFonts w:hint="eastAsia"/>
        </w:rPr>
        <w:t>等。城市商业中心包括市级商业中心、区级商业中心</w:t>
      </w:r>
      <w:r>
        <w:t>、</w:t>
      </w:r>
      <w:r>
        <w:rPr>
          <w:rFonts w:hint="eastAsia"/>
        </w:rPr>
        <w:t>社区级商业中心和特色商业街；商业业态主要包括零售业、专业市场和旅游商业等；商业网点配套主要包括物流基地、智慧商业和商业环境等。</w:t>
      </w:r>
    </w:p>
    <w:p>
      <w:pPr>
        <w:pStyle w:val="3"/>
      </w:pPr>
      <w:bookmarkStart w:id="6" w:name="_Toc455131333"/>
      <w:bookmarkStart w:id="7" w:name="_Toc505769258"/>
      <w:r>
        <w:rPr>
          <w:rFonts w:hint="eastAsia"/>
        </w:rPr>
        <w:t>规划期限</w:t>
      </w:r>
      <w:bookmarkEnd w:id="6"/>
      <w:bookmarkEnd w:id="7"/>
    </w:p>
    <w:p>
      <w:r>
        <w:rPr>
          <w:rFonts w:hint="eastAsia"/>
        </w:rPr>
        <w:t>本次规划期限为：</w:t>
      </w:r>
      <w:r>
        <w:rPr>
          <w:rFonts w:hint="eastAsia"/>
          <w:b/>
        </w:rPr>
        <w:t>2017-2025</w:t>
      </w:r>
      <w:r>
        <w:rPr>
          <w:rFonts w:hint="eastAsia"/>
        </w:rPr>
        <w:t>年，具体分为两个阶段：</w:t>
      </w:r>
    </w:p>
    <w:p>
      <w:pPr>
        <w:ind w:firstLine="482"/>
      </w:pPr>
      <w:r>
        <w:rPr>
          <w:rFonts w:hint="eastAsia"/>
          <w:b/>
        </w:rPr>
        <w:t>近期规划</w:t>
      </w:r>
      <w:r>
        <w:rPr>
          <w:rFonts w:hint="eastAsia"/>
        </w:rPr>
        <w:t>：2017-202</w:t>
      </w:r>
      <w:r>
        <w:t>1</w:t>
      </w:r>
      <w:r>
        <w:rPr>
          <w:rFonts w:hint="eastAsia"/>
        </w:rPr>
        <w:t>年；</w:t>
      </w:r>
    </w:p>
    <w:p>
      <w:pPr>
        <w:ind w:firstLine="482"/>
      </w:pPr>
      <w:r>
        <w:rPr>
          <w:rFonts w:hint="eastAsia"/>
          <w:b/>
        </w:rPr>
        <w:t>远期规划</w:t>
      </w:r>
      <w:r>
        <w:rPr>
          <w:rFonts w:hint="eastAsia"/>
        </w:rPr>
        <w:t>：202</w:t>
      </w:r>
      <w:r>
        <w:t>2</w:t>
      </w:r>
      <w:r>
        <w:rPr>
          <w:rFonts w:hint="eastAsia"/>
        </w:rPr>
        <w:t>-2025年。</w:t>
      </w:r>
    </w:p>
    <w:p>
      <w:pPr>
        <w:pStyle w:val="3"/>
      </w:pPr>
      <w:bookmarkStart w:id="8" w:name="_Toc505769259"/>
      <w:bookmarkStart w:id="9" w:name="_Toc455131334"/>
      <w:r>
        <w:rPr>
          <w:rFonts w:hint="eastAsia"/>
        </w:rPr>
        <w:t>指导思想</w:t>
      </w:r>
      <w:bookmarkEnd w:id="8"/>
      <w:bookmarkEnd w:id="9"/>
    </w:p>
    <w:p>
      <w:r>
        <w:rPr>
          <w:rFonts w:hint="eastAsia"/>
        </w:rPr>
        <w:t>1、以人为本，统筹兼顾</w:t>
      </w:r>
    </w:p>
    <w:p>
      <w:r>
        <w:rPr>
          <w:rFonts w:hint="eastAsia"/>
        </w:rPr>
        <w:t>2、层次分明，结构合理</w:t>
      </w:r>
    </w:p>
    <w:p>
      <w:r>
        <w:rPr>
          <w:rFonts w:hint="eastAsia"/>
        </w:rPr>
        <w:t>3、绿色低碳，可持续发展</w:t>
      </w:r>
    </w:p>
    <w:p>
      <w:r>
        <w:rPr>
          <w:rFonts w:hint="eastAsia"/>
        </w:rPr>
        <w:t>4、交通指向，发展综合商业</w:t>
      </w:r>
    </w:p>
    <w:p>
      <w:r>
        <w:rPr>
          <w:rFonts w:hint="eastAsia"/>
        </w:rPr>
        <w:t>5、凸显文化，实现错位发展</w:t>
      </w:r>
    </w:p>
    <w:p>
      <w:r>
        <w:rPr>
          <w:rFonts w:hint="eastAsia"/>
        </w:rPr>
        <w:t>6、智慧商业，创新运作模式</w:t>
      </w:r>
    </w:p>
    <w:p>
      <w:pPr>
        <w:pStyle w:val="2"/>
      </w:pPr>
      <w:bookmarkStart w:id="10" w:name="_Toc505769268"/>
      <w:bookmarkStart w:id="11" w:name="_Toc455131343"/>
      <w:r>
        <w:rPr>
          <w:rFonts w:hint="eastAsia"/>
        </w:rPr>
        <w:t>发展条件及策略分析</w:t>
      </w:r>
      <w:bookmarkEnd w:id="10"/>
      <w:bookmarkEnd w:id="11"/>
    </w:p>
    <w:p>
      <w:pPr>
        <w:pStyle w:val="3"/>
      </w:pPr>
      <w:bookmarkStart w:id="12" w:name="_Toc505769269"/>
      <w:bookmarkStart w:id="13" w:name="_Toc455131344"/>
      <w:r>
        <w:rPr>
          <w:rFonts w:hint="eastAsia"/>
        </w:rPr>
        <w:t>商业发展优势</w:t>
      </w:r>
      <w:bookmarkEnd w:id="12"/>
      <w:bookmarkEnd w:id="13"/>
    </w:p>
    <w:p>
      <w:pPr>
        <w:pStyle w:val="4"/>
        <w:spacing w:before="156" w:after="156"/>
      </w:pPr>
      <w:r>
        <w:rPr>
          <w:rFonts w:hint="eastAsia"/>
        </w:rPr>
        <w:t>珠三角一体化和粤东西北地区扩容提质的推进</w:t>
      </w:r>
    </w:p>
    <w:p>
      <w:r>
        <w:rPr>
          <w:rFonts w:hint="eastAsia"/>
        </w:rPr>
        <w:t>珠三角一体化和粤东西北地区扩容提质的推进，为我市经济社会发展提供了新机遇，特别是河惠、河梅、粤赣、广河、大广等高速公路，我市成为粤港澳大湾区的拓展地区，南接粤港澳大湾区大城市群，北连大内陆的交通枢纽城市和流通集散中心，为我市的商贸流通业发展提供了新的机遇。</w:t>
      </w:r>
    </w:p>
    <w:p>
      <w:pPr>
        <w:pStyle w:val="4"/>
        <w:spacing w:before="156" w:after="156"/>
      </w:pPr>
      <w:r>
        <w:rPr>
          <w:rFonts w:hint="eastAsia"/>
        </w:rPr>
        <w:t>经济综合实力逐步增强</w:t>
      </w:r>
    </w:p>
    <w:p>
      <w:r>
        <w:rPr>
          <w:rFonts w:hint="eastAsia"/>
        </w:rPr>
        <w:t>近几年来以来，河源市经济持续较快发展，经济结构有所优化。初步核算，201</w:t>
      </w:r>
      <w:r>
        <w:t>6</w:t>
      </w:r>
      <w:r>
        <w:rPr>
          <w:rFonts w:hint="eastAsia"/>
        </w:rPr>
        <w:t>年全市实现地区生产总值(GDP</w:t>
      </w:r>
      <w:r>
        <w:t>996</w:t>
      </w:r>
      <w:r>
        <w:rPr>
          <w:rFonts w:hint="eastAsia"/>
        </w:rPr>
        <w:t>亿元，比上年增长</w:t>
      </w:r>
      <w:r>
        <w:t>5.5</w:t>
      </w:r>
      <w:r>
        <w:rPr>
          <w:rFonts w:hint="eastAsia"/>
        </w:rPr>
        <w:t>%，</w:t>
      </w:r>
      <w:r>
        <w:rPr>
          <w:rFonts w:hint="eastAsia"/>
          <w:color w:val="000000"/>
          <w:sz w:val="23"/>
          <w:szCs w:val="23"/>
          <w:shd w:val="clear" w:color="auto" w:fill="FFFFFF"/>
        </w:rPr>
        <w:t>消费需求持续较快增长。全年社会消费品零售总额</w:t>
      </w:r>
      <w:r>
        <w:rPr>
          <w:color w:val="000000"/>
          <w:sz w:val="23"/>
          <w:szCs w:val="23"/>
          <w:shd w:val="clear" w:color="auto" w:fill="FFFFFF"/>
        </w:rPr>
        <w:t>585.8</w:t>
      </w:r>
      <w:r>
        <w:rPr>
          <w:rFonts w:hint="eastAsia"/>
          <w:color w:val="000000"/>
          <w:sz w:val="23"/>
          <w:szCs w:val="23"/>
          <w:shd w:val="clear" w:color="auto" w:fill="FFFFFF"/>
        </w:rPr>
        <w:t>亿元，比上年增长9.0%。</w:t>
      </w:r>
    </w:p>
    <w:p>
      <w:pPr>
        <w:pStyle w:val="4"/>
        <w:spacing w:before="156" w:after="156"/>
      </w:pPr>
      <w:r>
        <w:rPr>
          <w:rFonts w:hint="eastAsia"/>
        </w:rPr>
        <w:t>日益发展的旅游产业与商业体系的糅合</w:t>
      </w:r>
    </w:p>
    <w:p>
      <w:r>
        <w:rPr>
          <w:rFonts w:hint="eastAsia"/>
        </w:rPr>
        <w:t>河源优秀的旅游资源吸引着广东省乃至全国的游客，旅游产业逐年增长，发展态势较好，201</w:t>
      </w:r>
      <w:r>
        <w:t>7</w:t>
      </w:r>
      <w:r>
        <w:rPr>
          <w:rFonts w:hint="eastAsia"/>
        </w:rPr>
        <w:t>年全市旅游总收入</w:t>
      </w:r>
      <w:r>
        <w:t>270.62</w:t>
      </w:r>
      <w:r>
        <w:rPr>
          <w:rFonts w:hint="eastAsia"/>
        </w:rPr>
        <w:t>亿元，比上年增长</w:t>
      </w:r>
      <w:r>
        <w:t>13.8</w:t>
      </w:r>
      <w:r>
        <w:rPr>
          <w:rFonts w:hint="eastAsia"/>
        </w:rPr>
        <w:t>%；旅游接待总人数</w:t>
      </w:r>
      <w:r>
        <w:t>3200.12</w:t>
      </w:r>
      <w:r>
        <w:rPr>
          <w:rFonts w:hint="eastAsia"/>
        </w:rPr>
        <w:t>万人次，比上年增长</w:t>
      </w:r>
      <w:r>
        <w:t>12.1</w:t>
      </w:r>
      <w:r>
        <w:rPr>
          <w:rFonts w:hint="eastAsia"/>
        </w:rPr>
        <w:t>%。不仅传统的万绿湖、桂山山脉等旅游产业持续发展，近期开发的巴伐利亚、客天下等大型旅游项目也呈良好发展态势。旅游业的发展，对中心城区的餐饮、零售、住宿等也得到了一定的发展，形成了旅游促进商业发展，商业辅助旅游产业的良性发展态势。</w:t>
      </w:r>
    </w:p>
    <w:p>
      <w:pPr>
        <w:pStyle w:val="4"/>
        <w:spacing w:before="156" w:after="156"/>
      </w:pPr>
      <w:r>
        <w:rPr>
          <w:rFonts w:hint="eastAsia"/>
        </w:rPr>
        <w:t>消费需求多样化</w:t>
      </w:r>
    </w:p>
    <w:p>
      <w:r>
        <w:rPr>
          <w:rFonts w:hint="eastAsia"/>
        </w:rPr>
        <w:t>随着生活水平的提高，河源市城镇居民的日常消费由原来单一、低档的消费逐步形成多样、高档的消费趋势。由201</w:t>
      </w:r>
      <w:r>
        <w:t>7</w:t>
      </w:r>
      <w:r>
        <w:rPr>
          <w:rFonts w:hint="eastAsia"/>
        </w:rPr>
        <w:t>年河源市城镇居民消费支出构成比例图（图4-1）可以看出，河源市城镇居民除了对食品、衣着和家庭设备用品有一定的消费需求外，对娱乐教育文化服务的需求量也较大，已占总消费支出的9.03%。另外，河源市城镇居民的日常消费逐渐开始追求高档和名牌，部分居民因河源市商品不能满足其较高的需求标准，已转向广州、深圳等大城市消费。</w:t>
      </w:r>
    </w:p>
    <w:p>
      <w:pPr>
        <w:pStyle w:val="3"/>
      </w:pPr>
      <w:bookmarkStart w:id="14" w:name="_Toc505769270"/>
      <w:r>
        <w:rPr>
          <w:rFonts w:hint="eastAsia"/>
        </w:rPr>
        <w:t>发展策略</w:t>
      </w:r>
      <w:bookmarkEnd w:id="14"/>
    </w:p>
    <w:p>
      <w:pPr>
        <w:ind w:firstLine="482"/>
        <w:rPr>
          <w:b/>
          <w:kern w:val="0"/>
          <w:lang w:val="zh-CN"/>
        </w:rPr>
      </w:pPr>
      <w:r>
        <w:rPr>
          <w:rFonts w:hint="eastAsia"/>
          <w:b/>
          <w:kern w:val="0"/>
          <w:lang w:val="zh-CN"/>
        </w:rPr>
        <w:t>（</w:t>
      </w:r>
      <w:r>
        <w:rPr>
          <w:b/>
          <w:kern w:val="0"/>
          <w:lang w:val="zh-CN"/>
        </w:rPr>
        <w:t>1</w:t>
      </w:r>
      <w:r>
        <w:rPr>
          <w:rFonts w:hint="eastAsia"/>
          <w:b/>
          <w:kern w:val="0"/>
          <w:lang w:val="zh-CN"/>
        </w:rPr>
        <w:t>）创新战略</w:t>
      </w:r>
    </w:p>
    <w:p>
      <w:pPr>
        <w:rPr>
          <w:kern w:val="0"/>
          <w:lang w:val="zh-CN"/>
        </w:rPr>
      </w:pPr>
      <w:r>
        <w:rPr>
          <w:rFonts w:hint="eastAsia"/>
          <w:kern w:val="0"/>
          <w:lang w:val="zh-CN"/>
        </w:rPr>
        <w:t>坚持把创新作为发展的基本动力。树立新的流通产业观，提升流通产业在国民经济中的先导作用和消费对经济增长的拉动作用；推进技术、机制和制度创新，以人为本，发展现代生活服务业和生产服务业，提高城市商业网点的建设水平。</w:t>
      </w:r>
    </w:p>
    <w:p>
      <w:pPr>
        <w:ind w:firstLine="482"/>
        <w:rPr>
          <w:b/>
          <w:kern w:val="0"/>
          <w:lang w:val="zh-CN"/>
        </w:rPr>
      </w:pPr>
      <w:r>
        <w:rPr>
          <w:rFonts w:hint="eastAsia"/>
          <w:b/>
          <w:kern w:val="0"/>
          <w:lang w:val="zh-CN"/>
        </w:rPr>
        <w:t>（</w:t>
      </w:r>
      <w:r>
        <w:rPr>
          <w:b/>
          <w:kern w:val="0"/>
          <w:lang w:val="zh-CN"/>
        </w:rPr>
        <w:t>2</w:t>
      </w:r>
      <w:r>
        <w:rPr>
          <w:rFonts w:hint="eastAsia"/>
          <w:b/>
          <w:kern w:val="0"/>
          <w:lang w:val="zh-CN"/>
        </w:rPr>
        <w:t>）结构调整战略</w:t>
      </w:r>
    </w:p>
    <w:p>
      <w:pPr>
        <w:rPr>
          <w:kern w:val="0"/>
          <w:lang w:val="zh-CN"/>
        </w:rPr>
      </w:pPr>
      <w:r>
        <w:rPr>
          <w:rFonts w:hint="eastAsia"/>
          <w:kern w:val="0"/>
          <w:lang w:val="zh-CN"/>
        </w:rPr>
        <w:t>坚持在优化结构的基础上加快发展速度，提高发展质量。调整重要商业网点的布局和结构，促进城市产业结构的优化；发展现代流通方式，增强流通服务和对外主动辐射的能力；积极培养消费热点，拉动消费结构的升级。</w:t>
      </w:r>
    </w:p>
    <w:p>
      <w:pPr>
        <w:ind w:firstLine="482"/>
        <w:rPr>
          <w:b/>
          <w:kern w:val="0"/>
          <w:lang w:val="zh-CN"/>
        </w:rPr>
      </w:pPr>
      <w:r>
        <w:rPr>
          <w:rFonts w:hint="eastAsia"/>
          <w:b/>
          <w:kern w:val="0"/>
          <w:lang w:val="zh-CN"/>
        </w:rPr>
        <w:t>（</w:t>
      </w:r>
      <w:r>
        <w:rPr>
          <w:b/>
          <w:kern w:val="0"/>
          <w:lang w:val="zh-CN"/>
        </w:rPr>
        <w:t>3</w:t>
      </w:r>
      <w:r>
        <w:rPr>
          <w:rFonts w:hint="eastAsia"/>
          <w:b/>
          <w:kern w:val="0"/>
          <w:lang w:val="zh-CN"/>
        </w:rPr>
        <w:t>）文化兴商战略</w:t>
      </w:r>
    </w:p>
    <w:p>
      <w:pPr>
        <w:rPr>
          <w:kern w:val="0"/>
          <w:lang w:val="zh-CN"/>
        </w:rPr>
      </w:pPr>
      <w:r>
        <w:rPr>
          <w:rFonts w:hint="eastAsia"/>
          <w:kern w:val="0"/>
          <w:lang w:val="zh-CN"/>
        </w:rPr>
        <w:t>坚持把文化建设作为发展商业服务业的内在动力。开发河源</w:t>
      </w:r>
      <w:r>
        <w:rPr>
          <w:kern w:val="0"/>
          <w:lang w:val="zh-CN"/>
        </w:rPr>
        <w:t>客家</w:t>
      </w:r>
      <w:r>
        <w:rPr>
          <w:rFonts w:hint="eastAsia"/>
          <w:kern w:val="0"/>
          <w:lang w:val="zh-CN"/>
        </w:rPr>
        <w:t>文化资源、</w:t>
      </w:r>
      <w:r>
        <w:rPr>
          <w:kern w:val="0"/>
          <w:lang w:val="zh-CN"/>
        </w:rPr>
        <w:t>恐龙文化，</w:t>
      </w:r>
      <w:r>
        <w:rPr>
          <w:rFonts w:hint="eastAsia"/>
          <w:kern w:val="0"/>
          <w:lang w:val="zh-CN"/>
        </w:rPr>
        <w:t>以文化建设带动物质消费。扩大消费领域，创新服务方式；倡导现代工业文化，促进资源整合与社会分工，发展新型生产服务业。</w:t>
      </w:r>
    </w:p>
    <w:p>
      <w:pPr>
        <w:pStyle w:val="2"/>
      </w:pPr>
      <w:bookmarkStart w:id="15" w:name="_Toc455131353"/>
      <w:bookmarkStart w:id="16" w:name="_Toc505769274"/>
      <w:r>
        <w:rPr>
          <w:rFonts w:hint="eastAsia"/>
        </w:rPr>
        <w:t>发展定位与发展目标</w:t>
      </w:r>
      <w:bookmarkEnd w:id="15"/>
      <w:bookmarkEnd w:id="16"/>
    </w:p>
    <w:p>
      <w:pPr>
        <w:pStyle w:val="3"/>
      </w:pPr>
      <w:bookmarkStart w:id="17" w:name="_Toc505769275"/>
      <w:bookmarkStart w:id="18" w:name="_Toc455131354"/>
      <w:r>
        <w:rPr>
          <w:rFonts w:hint="eastAsia"/>
        </w:rPr>
        <w:t>商业发展定位</w:t>
      </w:r>
      <w:bookmarkEnd w:id="17"/>
      <w:bookmarkEnd w:id="18"/>
    </w:p>
    <w:p>
      <w:r>
        <w:rPr>
          <w:rFonts w:hint="eastAsia"/>
        </w:rPr>
        <w:t>根据上述对河源市商业发展现状、发展趋势、区域环境及区域竞争力等分析，结合《河源市国民经济和社会发展第十三个五年规划（草案）》、《河源市城市总体规划（2008-2020年）》等的发展目标与定位，河源市中心城区商业发展定位如下：</w:t>
      </w:r>
    </w:p>
    <w:p>
      <w:pPr>
        <w:ind w:firstLine="482"/>
        <w:rPr>
          <w:b/>
        </w:rPr>
      </w:pPr>
      <w:r>
        <w:rPr>
          <w:rFonts w:hint="eastAsia"/>
          <w:b/>
        </w:rPr>
        <w:t>河源市商贸服务与物流中心，立足粤东北，打造成服务粤港澳大湾区的商贸服与旅游融合发展的区域性商旅服务中心。</w:t>
      </w:r>
    </w:p>
    <w:p>
      <w:pPr>
        <w:pStyle w:val="3"/>
      </w:pPr>
      <w:bookmarkStart w:id="19" w:name="_Toc505769276"/>
      <w:bookmarkStart w:id="20" w:name="_Toc455131355"/>
      <w:r>
        <w:rPr>
          <w:rFonts w:hint="eastAsia"/>
        </w:rPr>
        <w:t>商业发展目标</w:t>
      </w:r>
      <w:bookmarkEnd w:id="19"/>
      <w:bookmarkEnd w:id="20"/>
    </w:p>
    <w:p>
      <w:r>
        <w:rPr>
          <w:rFonts w:hint="eastAsia"/>
        </w:rPr>
        <w:t>——以打造现代化消费中心为目标，建设结构清晰、功能齐全，布局优化、规模合理的现代商业网点发展体系；</w:t>
      </w:r>
    </w:p>
    <w:p>
      <w:r>
        <w:rPr>
          <w:rFonts w:hint="eastAsia"/>
        </w:rPr>
        <w:t>——以立足河源，服务粤港澳大湾区为目标，建设竞争力和辐射力较强的商品交易市场服务体系；</w:t>
      </w:r>
    </w:p>
    <w:p>
      <w:r>
        <w:rPr>
          <w:rFonts w:hint="eastAsia"/>
        </w:rPr>
        <w:t>——以服务提升产业竞争力、延伸产业链条为目标，建设社会化、专业化、信息化的现代物流体系；</w:t>
      </w:r>
    </w:p>
    <w:p>
      <w:r>
        <w:rPr>
          <w:rFonts w:hint="eastAsia"/>
        </w:rPr>
        <w:t>——以丰富商业服务功能、突出商业特色为目标，建设餐饮文化、客家文化、地方旅游、商务服务等特色商业服务体系。</w:t>
      </w:r>
    </w:p>
    <w:p>
      <w:pPr>
        <w:pStyle w:val="4"/>
        <w:spacing w:before="156" w:after="156"/>
      </w:pPr>
      <w:r>
        <w:rPr>
          <w:rFonts w:hint="eastAsia"/>
        </w:rPr>
        <w:t>总量目标</w:t>
      </w:r>
    </w:p>
    <w:p>
      <w:pPr>
        <w:ind w:firstLine="482"/>
        <w:rPr>
          <w:b/>
        </w:rPr>
      </w:pPr>
      <w:r>
        <w:rPr>
          <w:rFonts w:hint="eastAsia"/>
          <w:b/>
        </w:rPr>
        <w:t>（1）近期规划</w:t>
      </w:r>
    </w:p>
    <w:p>
      <w:r>
        <w:rPr>
          <w:rFonts w:hint="eastAsia"/>
        </w:rPr>
        <w:t>河源市中心城区社会消费品零售总额保持年平均增长</w:t>
      </w:r>
      <w:r>
        <w:t>10</w:t>
      </w:r>
      <w:r>
        <w:rPr>
          <w:rFonts w:hint="eastAsia"/>
        </w:rPr>
        <w:t>%，到2020年达到</w:t>
      </w:r>
      <w:r>
        <w:t>786.87</w:t>
      </w:r>
      <w:r>
        <w:rPr>
          <w:rFonts w:hint="eastAsia"/>
        </w:rPr>
        <w:t>亿元左右。</w:t>
      </w:r>
    </w:p>
    <w:p>
      <w:pPr>
        <w:ind w:firstLine="482"/>
        <w:rPr>
          <w:b/>
        </w:rPr>
      </w:pPr>
      <w:r>
        <w:rPr>
          <w:rFonts w:hint="eastAsia"/>
          <w:b/>
        </w:rPr>
        <w:t>（2）远期规划</w:t>
      </w:r>
    </w:p>
    <w:p>
      <w:r>
        <w:rPr>
          <w:rFonts w:hint="eastAsia"/>
        </w:rPr>
        <w:t>河源市中心城区社会消费品零售总额保持年平均增长10%，到2025年达到</w:t>
      </w:r>
      <w:r>
        <w:t>1267.26</w:t>
      </w:r>
      <w:r>
        <w:rPr>
          <w:rFonts w:hint="eastAsia"/>
        </w:rPr>
        <w:t>亿元左右。</w:t>
      </w:r>
    </w:p>
    <w:p>
      <w:pPr>
        <w:pStyle w:val="2"/>
      </w:pPr>
      <w:bookmarkStart w:id="21" w:name="_Toc505769277"/>
      <w:bookmarkStart w:id="22" w:name="_Toc455131356"/>
      <w:r>
        <w:rPr>
          <w:rFonts w:hint="eastAsia"/>
        </w:rPr>
        <w:t>规划总体布局</w:t>
      </w:r>
      <w:bookmarkEnd w:id="21"/>
      <w:bookmarkEnd w:id="22"/>
    </w:p>
    <w:p>
      <w:r>
        <w:rPr>
          <w:rFonts w:hint="eastAsia"/>
        </w:rPr>
        <w:t>河源市中心</w:t>
      </w:r>
      <w:r>
        <w:t>城区</w:t>
      </w:r>
      <w:r>
        <w:rPr>
          <w:rFonts w:hint="eastAsia"/>
        </w:rPr>
        <w:t>商业</w:t>
      </w:r>
      <w:r>
        <w:t>网点</w:t>
      </w:r>
      <w:r>
        <w:rPr>
          <w:rFonts w:hint="eastAsia"/>
        </w:rPr>
        <w:t>规划</w:t>
      </w:r>
      <w:r>
        <w:t>总体</w:t>
      </w:r>
      <w:r>
        <w:rPr>
          <w:rFonts w:hint="eastAsia"/>
        </w:rPr>
        <w:t>布局</w:t>
      </w:r>
      <w:r>
        <w:t>如下图</w:t>
      </w:r>
      <w:r>
        <w:rPr>
          <w:rFonts w:hint="eastAsia"/>
        </w:rPr>
        <w:t>7-1所示:</w:t>
      </w:r>
    </w:p>
    <w:p>
      <w:pPr>
        <w:ind w:firstLine="0" w:firstLineChars="0"/>
        <w:jc w:val="center"/>
      </w:pPr>
      <w:r>
        <w:drawing>
          <wp:inline distT="0" distB="0" distL="0" distR="0">
            <wp:extent cx="5320030" cy="5132705"/>
            <wp:effectExtent l="0" t="0" r="0" b="0"/>
            <wp:docPr id="3" name="图片 3" descr="G:\个人资料信息\1112\谢市长会议后调整\17年成果\商业网点体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个人资料信息\1112\谢市长会议后调整\17年成果\商业网点体系.jpg"/>
                    <pic:cNvPicPr>
                      <a:picLocks noChangeAspect="1" noChangeArrowheads="1"/>
                    </pic:cNvPicPr>
                  </pic:nvPicPr>
                  <pic:blipFill>
                    <a:blip r:embed="rId5" cstate="email"/>
                    <a:srcRect l="19309" r="22372"/>
                    <a:stretch>
                      <a:fillRect/>
                    </a:stretch>
                  </pic:blipFill>
                  <pic:spPr>
                    <a:xfrm>
                      <a:off x="0" y="0"/>
                      <a:ext cx="5320472" cy="5133109"/>
                    </a:xfrm>
                    <a:prstGeom prst="rect">
                      <a:avLst/>
                    </a:prstGeom>
                    <a:noFill/>
                    <a:ln>
                      <a:noFill/>
                    </a:ln>
                  </pic:spPr>
                </pic:pic>
              </a:graphicData>
            </a:graphic>
          </wp:inline>
        </w:drawing>
      </w:r>
    </w:p>
    <w:p>
      <w:pPr>
        <w:ind w:firstLine="422" w:firstLineChars="0"/>
        <w:jc w:val="center"/>
        <w:rPr>
          <w:b/>
          <w:sz w:val="21"/>
          <w:szCs w:val="21"/>
        </w:rPr>
      </w:pPr>
      <w:r>
        <w:rPr>
          <w:rFonts w:hint="eastAsia"/>
          <w:b/>
          <w:sz w:val="21"/>
          <w:szCs w:val="21"/>
        </w:rPr>
        <w:t>图7-1 河源市中心城区商业体系图</w:t>
      </w:r>
    </w:p>
    <w:p>
      <w:pPr>
        <w:ind w:firstLine="0" w:firstLineChars="0"/>
        <w:jc w:val="center"/>
      </w:pPr>
    </w:p>
    <w:p>
      <w:pPr>
        <w:pStyle w:val="2"/>
      </w:pPr>
      <w:bookmarkStart w:id="23" w:name="_Toc505769278"/>
      <w:r>
        <w:rPr>
          <w:rFonts w:hint="eastAsia"/>
        </w:rPr>
        <w:t>规划具体</w:t>
      </w:r>
      <w:r>
        <w:t>布局</w:t>
      </w:r>
      <w:bookmarkEnd w:id="23"/>
    </w:p>
    <w:p>
      <w:pPr>
        <w:pStyle w:val="3"/>
      </w:pPr>
      <w:bookmarkStart w:id="24" w:name="_Toc505769279"/>
      <w:r>
        <w:rPr>
          <w:rFonts w:hint="eastAsia"/>
        </w:rPr>
        <w:t>消费品与生活服务市场的规划布局</w:t>
      </w:r>
      <w:bookmarkEnd w:id="24"/>
    </w:p>
    <w:p>
      <w:pPr>
        <w:pStyle w:val="4"/>
        <w:spacing w:before="156" w:after="156"/>
      </w:pPr>
      <w:r>
        <w:rPr>
          <w:rFonts w:hint="eastAsia"/>
        </w:rPr>
        <w:t>商业</w:t>
      </w:r>
      <w:r>
        <w:t>中心</w:t>
      </w:r>
      <w:r>
        <w:rPr>
          <w:rFonts w:hint="eastAsia"/>
        </w:rPr>
        <w:t>规划</w:t>
      </w:r>
      <w:r>
        <w:t>布局</w:t>
      </w:r>
    </w:p>
    <w:p>
      <w:pPr>
        <w:ind w:firstLine="482"/>
        <w:rPr>
          <w:b/>
        </w:rPr>
      </w:pPr>
      <w:r>
        <w:rPr>
          <w:rFonts w:hint="eastAsia"/>
          <w:b/>
        </w:rPr>
        <w:t>（1）建设</w:t>
      </w:r>
      <w:r>
        <w:rPr>
          <w:b/>
        </w:rPr>
        <w:t>要求</w:t>
      </w:r>
    </w:p>
    <w:p>
      <w:pPr>
        <w:ind w:firstLine="482"/>
        <w:rPr>
          <w:b/>
        </w:rPr>
      </w:pPr>
      <w:r>
        <w:rPr>
          <w:rFonts w:hint="eastAsia"/>
          <w:b/>
        </w:rPr>
        <w:t>1）体系</w:t>
      </w:r>
      <w:r>
        <w:rPr>
          <w:b/>
        </w:rPr>
        <w:t>结构</w:t>
      </w:r>
    </w:p>
    <w:p>
      <w:r>
        <w:rPr>
          <w:rFonts w:hint="eastAsia"/>
        </w:rPr>
        <w:t>根据对河源市中心城区商业网点需求的预测，结合中心城区城市功能分区，对中心城区的商业功能进行合理布局，构建现代和传统特色分明、地域功能分属明显的商业空间发展体系。构造</w:t>
      </w:r>
      <w:r>
        <w:rPr>
          <w:rFonts w:hint="eastAsia"/>
          <w:b/>
        </w:rPr>
        <w:t>“一主、两副、六区”</w:t>
      </w:r>
      <w:r>
        <w:rPr>
          <w:rFonts w:hint="eastAsia"/>
        </w:rPr>
        <w:t>的整体商业格局。</w:t>
      </w:r>
    </w:p>
    <w:p>
      <w:pPr>
        <w:ind w:firstLine="482"/>
      </w:pPr>
      <w:r>
        <w:rPr>
          <w:rFonts w:hint="eastAsia"/>
          <w:b/>
        </w:rPr>
        <w:t>“一主”</w:t>
      </w:r>
      <w:r>
        <w:rPr>
          <w:rFonts w:hint="eastAsia"/>
        </w:rPr>
        <w:t>：新老城区市级商业核心；</w:t>
      </w:r>
    </w:p>
    <w:p>
      <w:pPr>
        <w:ind w:firstLine="482"/>
      </w:pPr>
      <w:r>
        <w:rPr>
          <w:rFonts w:hint="eastAsia"/>
          <w:b/>
        </w:rPr>
        <w:t>“两副”</w:t>
      </w:r>
      <w:r>
        <w:rPr>
          <w:rFonts w:hint="eastAsia"/>
        </w:rPr>
        <w:t>：江东新区和高新区商业副中心；</w:t>
      </w:r>
    </w:p>
    <w:p>
      <w:pPr>
        <w:ind w:firstLine="482"/>
      </w:pPr>
      <w:r>
        <w:rPr>
          <w:rFonts w:hint="eastAsia"/>
          <w:b/>
        </w:rPr>
        <w:t>“六区”</w:t>
      </w:r>
      <w:r>
        <w:rPr>
          <w:rFonts w:hint="eastAsia"/>
        </w:rPr>
        <w:t>：仙塘-木京、观塘-洋谭、白田-高埔、埔前、临江、古竹六个区级商业中心。</w:t>
      </w:r>
    </w:p>
    <w:p>
      <w:r>
        <w:rPr>
          <w:rFonts w:hint="eastAsia"/>
        </w:rPr>
        <w:t>“1+2+6”的</w:t>
      </w:r>
      <w:r>
        <w:t>商业中心</w:t>
      </w:r>
      <w:r>
        <w:rPr>
          <w:rFonts w:hint="eastAsia"/>
        </w:rPr>
        <w:t>布局</w:t>
      </w:r>
      <w:r>
        <w:t>与</w:t>
      </w:r>
      <w:r>
        <w:rPr>
          <w:rFonts w:hint="eastAsia"/>
        </w:rPr>
        <w:t>中心</w:t>
      </w:r>
      <w:r>
        <w:t>城区</w:t>
      </w:r>
      <w:r>
        <w:rPr>
          <w:rFonts w:hint="eastAsia"/>
        </w:rPr>
        <w:t>空间</w:t>
      </w:r>
      <w:r>
        <w:t>发展</w:t>
      </w:r>
      <w:r>
        <w:rPr>
          <w:rFonts w:hint="eastAsia"/>
        </w:rPr>
        <w:t>结构相协调</w:t>
      </w:r>
      <w:r>
        <w:t>，</w:t>
      </w:r>
      <w:r>
        <w:rPr>
          <w:rFonts w:hint="eastAsia"/>
        </w:rPr>
        <w:t>商业</w:t>
      </w:r>
      <w:r>
        <w:t>中心</w:t>
      </w:r>
      <w:r>
        <w:rPr>
          <w:rFonts w:hint="eastAsia"/>
        </w:rPr>
        <w:t>的</w:t>
      </w:r>
      <w:r>
        <w:t>多核</w:t>
      </w:r>
      <w:r>
        <w:rPr>
          <w:rFonts w:hint="eastAsia"/>
        </w:rPr>
        <w:t>结构与中心</w:t>
      </w:r>
      <w:r>
        <w:t>城区带状</w:t>
      </w:r>
      <w:r>
        <w:rPr>
          <w:rFonts w:hint="eastAsia"/>
        </w:rPr>
        <w:t>的</w:t>
      </w:r>
      <w:r>
        <w:t>空间</w:t>
      </w:r>
      <w:r>
        <w:rPr>
          <w:rFonts w:hint="eastAsia"/>
        </w:rPr>
        <w:t>形态特点</w:t>
      </w:r>
      <w:r>
        <w:t>相</w:t>
      </w:r>
      <w:r>
        <w:rPr>
          <w:rFonts w:hint="eastAsia"/>
        </w:rPr>
        <w:t>统一</w:t>
      </w:r>
      <w:r>
        <w:t>。</w:t>
      </w:r>
    </w:p>
    <w:p>
      <w:pPr>
        <w:ind w:firstLine="0" w:firstLineChars="0"/>
      </w:pPr>
      <w:r>
        <w:drawing>
          <wp:inline distT="0" distB="0" distL="0" distR="0">
            <wp:extent cx="5274310" cy="7459980"/>
            <wp:effectExtent l="0" t="0" r="2540" b="7620"/>
            <wp:docPr id="2" name="图片 2" descr="C:\Users\Administrator\Desktop\0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03g.jpg"/>
                    <pic:cNvPicPr>
                      <a:picLocks noChangeAspect="1" noChangeArrowheads="1"/>
                    </pic:cNvPicPr>
                  </pic:nvPicPr>
                  <pic:blipFill>
                    <a:blip r:embed="rId6" cstate="email"/>
                    <a:srcRect/>
                    <a:stretch>
                      <a:fillRect/>
                    </a:stretch>
                  </pic:blipFill>
                  <pic:spPr>
                    <a:xfrm>
                      <a:off x="0" y="0"/>
                      <a:ext cx="5274310" cy="7460585"/>
                    </a:xfrm>
                    <a:prstGeom prst="rect">
                      <a:avLst/>
                    </a:prstGeom>
                    <a:noFill/>
                    <a:ln>
                      <a:noFill/>
                    </a:ln>
                  </pic:spPr>
                </pic:pic>
              </a:graphicData>
            </a:graphic>
          </wp:inline>
        </w:drawing>
      </w:r>
    </w:p>
    <w:p>
      <w:pPr>
        <w:ind w:firstLine="422" w:firstLineChars="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1</w:t>
      </w:r>
      <w:r>
        <w:rPr>
          <w:rFonts w:hint="eastAsia"/>
          <w:b/>
          <w:sz w:val="21"/>
          <w:szCs w:val="21"/>
        </w:rPr>
        <w:t xml:space="preserve"> 河源市中心城区商业中心规划图</w:t>
      </w:r>
    </w:p>
    <w:p>
      <w:pPr>
        <w:ind w:firstLine="0" w:firstLineChars="0"/>
      </w:pPr>
    </w:p>
    <w:p>
      <w:pPr>
        <w:ind w:firstLine="0" w:firstLineChars="0"/>
      </w:pPr>
      <w:r>
        <w:br w:type="page"/>
      </w:r>
    </w:p>
    <w:p>
      <w:pPr>
        <w:pStyle w:val="4"/>
        <w:spacing w:before="156" w:after="156"/>
      </w:pPr>
      <w:bookmarkStart w:id="25" w:name="_Toc455131360"/>
      <w:r>
        <w:rPr>
          <w:rFonts w:hint="eastAsia"/>
        </w:rPr>
        <w:t>商业街</w:t>
      </w:r>
      <w:bookmarkEnd w:id="25"/>
    </w:p>
    <w:p>
      <w:pPr>
        <w:ind w:firstLine="482"/>
        <w:rPr>
          <w:b/>
        </w:rPr>
      </w:pPr>
      <w:r>
        <w:rPr>
          <w:rFonts w:hint="eastAsia"/>
          <w:b/>
        </w:rPr>
        <w:t>（2</w:t>
      </w:r>
      <w:r>
        <w:rPr>
          <w:b/>
        </w:rPr>
        <w:t>）</w:t>
      </w:r>
      <w:r>
        <w:rPr>
          <w:rFonts w:hint="eastAsia"/>
          <w:b/>
        </w:rPr>
        <w:t>规划布局</w:t>
      </w:r>
    </w:p>
    <w:p>
      <w:r>
        <w:rPr>
          <w:rFonts w:hint="eastAsia"/>
        </w:rPr>
        <w:t>对商业街的规划从节约资源和减少浪费角度出发不宜大拆大建，以改造和提升为主。规划期内对商业街的改造和建设要充分突出和发掘区域历史、客家文化、优势商品、品牌影响力和专业特色。</w:t>
      </w:r>
    </w:p>
    <w:p>
      <w:r>
        <w:rPr>
          <w:rFonts w:hint="eastAsia"/>
        </w:rPr>
        <w:t>按照河源市中心城区经济社会发展、城市空间发展的需要和各级商业中心商业设置的要求，规划期内在中心城区均衡设置商业街，形成布局合理、类型多样、层次分明的商业街体系。其中：</w:t>
      </w:r>
    </w:p>
    <w:p>
      <w:r>
        <w:t>a.</w:t>
      </w:r>
      <w:r>
        <w:rPr>
          <w:rFonts w:hint="eastAsia"/>
        </w:rPr>
        <w:t>综合型商业街要优先调整街内商业网点结构，完善购物、餐饮和娱乐等综合功能；</w:t>
      </w:r>
    </w:p>
    <w:p>
      <w:pPr>
        <w:rPr>
          <w:spacing w:val="2"/>
        </w:rPr>
      </w:pPr>
      <w:r>
        <w:t>b.</w:t>
      </w:r>
      <w:r>
        <w:rPr>
          <w:rFonts w:hint="eastAsia"/>
        </w:rPr>
        <w:t>专业型商业街要优先发展主题服务商业网点，突出专业服务特色。</w:t>
      </w:r>
    </w:p>
    <w:p>
      <w:pPr>
        <w:spacing w:before="240"/>
        <w:ind w:firstLine="0" w:firstLineChars="0"/>
        <w:jc w:val="center"/>
        <w:rPr>
          <w:b/>
          <w:sz w:val="21"/>
          <w:szCs w:val="21"/>
        </w:rPr>
      </w:pPr>
      <w:r>
        <w:rPr>
          <w:b/>
          <w:sz w:val="21"/>
          <w:szCs w:val="21"/>
        </w:rPr>
        <w:drawing>
          <wp:inline distT="0" distB="0" distL="0" distR="0">
            <wp:extent cx="5274310" cy="7458075"/>
            <wp:effectExtent l="0" t="0" r="2540" b="9525"/>
            <wp:docPr id="11" name="图片 11" descr="G:\个人资料信息\1112\谢市长会议后调整\17年成果\新建文件夹\05.商业街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个人资料信息\1112\谢市长会议后调整\17年成果\新建文件夹\05.商业街规划图.jpg"/>
                    <pic:cNvPicPr>
                      <a:picLocks noChangeAspect="1" noChangeArrowheads="1"/>
                    </pic:cNvPicPr>
                  </pic:nvPicPr>
                  <pic:blipFill>
                    <a:blip r:embed="rId7" cstate="email"/>
                    <a:srcRect/>
                    <a:stretch>
                      <a:fillRect/>
                    </a:stretch>
                  </pic:blipFill>
                  <pic:spPr>
                    <a:xfrm>
                      <a:off x="0" y="0"/>
                      <a:ext cx="5274310" cy="7458660"/>
                    </a:xfrm>
                    <a:prstGeom prst="rect">
                      <a:avLst/>
                    </a:prstGeom>
                    <a:noFill/>
                    <a:ln>
                      <a:noFill/>
                    </a:ln>
                  </pic:spPr>
                </pic:pic>
              </a:graphicData>
            </a:graphic>
          </wp:inline>
        </w:drawing>
      </w:r>
    </w:p>
    <w:p>
      <w:pPr>
        <w:ind w:firstLine="422" w:firstLineChars="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2</w:t>
      </w:r>
      <w:r>
        <w:rPr>
          <w:rFonts w:hint="eastAsia"/>
          <w:b/>
          <w:sz w:val="21"/>
          <w:szCs w:val="21"/>
        </w:rPr>
        <w:t xml:space="preserve"> 河源市中心城区商业街规划图</w:t>
      </w:r>
    </w:p>
    <w:p>
      <w:pPr>
        <w:ind w:firstLine="422" w:firstLineChars="0"/>
        <w:jc w:val="center"/>
        <w:rPr>
          <w:b/>
          <w:sz w:val="21"/>
          <w:szCs w:val="21"/>
        </w:rPr>
      </w:pPr>
    </w:p>
    <w:p>
      <w:pPr>
        <w:ind w:firstLine="422" w:firstLineChars="0"/>
        <w:jc w:val="center"/>
        <w:rPr>
          <w:b/>
          <w:sz w:val="21"/>
          <w:szCs w:val="21"/>
        </w:rPr>
      </w:pPr>
    </w:p>
    <w:p>
      <w:pPr>
        <w:pStyle w:val="3"/>
      </w:pPr>
      <w:bookmarkStart w:id="26" w:name="_Toc505769280"/>
      <w:r>
        <w:rPr>
          <w:rFonts w:hint="eastAsia"/>
        </w:rPr>
        <w:t>生产资料市场体系的规划布局</w:t>
      </w:r>
      <w:bookmarkEnd w:id="26"/>
    </w:p>
    <w:p>
      <w:pPr>
        <w:ind w:firstLine="482"/>
        <w:rPr>
          <w:b/>
        </w:rPr>
      </w:pPr>
      <w:r>
        <w:rPr>
          <w:rFonts w:hint="eastAsia"/>
          <w:b/>
        </w:rPr>
        <w:t>（</w:t>
      </w:r>
      <w:r>
        <w:rPr>
          <w:b/>
        </w:rPr>
        <w:t>1）</w:t>
      </w:r>
      <w:r>
        <w:rPr>
          <w:rFonts w:hint="eastAsia"/>
          <w:b/>
        </w:rPr>
        <w:t>布局</w:t>
      </w:r>
      <w:r>
        <w:rPr>
          <w:b/>
        </w:rPr>
        <w:t>要点</w:t>
      </w:r>
    </w:p>
    <w:p>
      <w:pPr>
        <w:ind w:firstLine="482"/>
        <w:rPr>
          <w:b/>
        </w:rPr>
      </w:pPr>
      <w:r>
        <w:rPr>
          <w:rFonts w:hint="eastAsia"/>
          <w:b/>
        </w:rPr>
        <w:t>1</w:t>
      </w:r>
      <w:r>
        <w:rPr>
          <w:b/>
        </w:rPr>
        <w:t>）</w:t>
      </w:r>
      <w:r>
        <w:rPr>
          <w:rFonts w:hint="eastAsia"/>
          <w:b/>
        </w:rPr>
        <w:t>塑料</w:t>
      </w:r>
      <w:r>
        <w:rPr>
          <w:b/>
        </w:rPr>
        <w:t>市场</w:t>
      </w:r>
    </w:p>
    <w:p>
      <w:r>
        <w:rPr>
          <w:rFonts w:hint="eastAsia"/>
        </w:rPr>
        <w:t>中心</w:t>
      </w:r>
      <w:r>
        <w:t>城区</w:t>
      </w:r>
      <w:r>
        <w:rPr>
          <w:rFonts w:hint="eastAsia"/>
        </w:rPr>
        <w:t>现状</w:t>
      </w:r>
      <w:r>
        <w:t>尚无</w:t>
      </w:r>
      <w:r>
        <w:rPr>
          <w:rFonts w:hint="eastAsia"/>
        </w:rPr>
        <w:t>集中</w:t>
      </w:r>
      <w:r>
        <w:t>的大型</w:t>
      </w:r>
      <w:r>
        <w:rPr>
          <w:rFonts w:hint="eastAsia"/>
        </w:rPr>
        <w:t>塑料</w:t>
      </w:r>
      <w:r>
        <w:t>市场，</w:t>
      </w:r>
      <w:r>
        <w:rPr>
          <w:rFonts w:hint="eastAsia"/>
        </w:rPr>
        <w:t>主要</w:t>
      </w:r>
      <w:r>
        <w:t>还是沿河源大道两侧分布少量</w:t>
      </w:r>
      <w:r>
        <w:rPr>
          <w:rFonts w:hint="eastAsia"/>
        </w:rPr>
        <w:t>小型</w:t>
      </w:r>
      <w:r>
        <w:t>塑料零售网点</w:t>
      </w:r>
      <w:r>
        <w:rPr>
          <w:rFonts w:hint="eastAsia"/>
        </w:rPr>
        <w:t>。</w:t>
      </w:r>
      <w:r>
        <w:t>规划期</w:t>
      </w:r>
      <w:r>
        <w:rPr>
          <w:rFonts w:hint="eastAsia"/>
        </w:rPr>
        <w:t>内，整合</w:t>
      </w:r>
      <w:r>
        <w:t>现有</w:t>
      </w:r>
      <w:r>
        <w:rPr>
          <w:rFonts w:hint="eastAsia"/>
        </w:rPr>
        <w:t>塑料</w:t>
      </w:r>
      <w:r>
        <w:t>网点，</w:t>
      </w:r>
      <w:r>
        <w:rPr>
          <w:rFonts w:hint="eastAsia"/>
        </w:rPr>
        <w:t>建议</w:t>
      </w:r>
      <w:r>
        <w:t>在</w:t>
      </w:r>
      <w:r>
        <w:rPr>
          <w:rFonts w:hint="eastAsia"/>
        </w:rPr>
        <w:t>白田</w:t>
      </w:r>
      <w:r>
        <w:t>明珠片区</w:t>
      </w:r>
      <w:r>
        <w:rPr>
          <w:rFonts w:hint="eastAsia"/>
        </w:rPr>
        <w:t>新</w:t>
      </w:r>
      <w:r>
        <w:t>设</w:t>
      </w:r>
      <w:r>
        <w:rPr>
          <w:rFonts w:hint="eastAsia"/>
        </w:rPr>
        <w:t>一</w:t>
      </w:r>
      <w:r>
        <w:t>处</w:t>
      </w:r>
      <w:r>
        <w:rPr>
          <w:rFonts w:hint="eastAsia"/>
        </w:rPr>
        <w:t>塑料</w:t>
      </w:r>
      <w:r>
        <w:t>市场，</w:t>
      </w:r>
      <w:r>
        <w:rPr>
          <w:rFonts w:hint="eastAsia"/>
        </w:rPr>
        <w:t>完善</w:t>
      </w:r>
      <w:r>
        <w:t>电商等</w:t>
      </w:r>
      <w:r>
        <w:rPr>
          <w:rFonts w:hint="eastAsia"/>
        </w:rPr>
        <w:t>现代化</w:t>
      </w:r>
      <w:r>
        <w:t>交易方式，</w:t>
      </w:r>
      <w:r>
        <w:rPr>
          <w:rFonts w:hint="eastAsia"/>
        </w:rPr>
        <w:t>配备</w:t>
      </w:r>
      <w:r>
        <w:t>健全的</w:t>
      </w:r>
      <w:r>
        <w:rPr>
          <w:rFonts w:hint="eastAsia"/>
        </w:rPr>
        <w:t>电子</w:t>
      </w:r>
      <w:r>
        <w:t>信息</w:t>
      </w:r>
      <w:r>
        <w:rPr>
          <w:rFonts w:hint="eastAsia"/>
        </w:rPr>
        <w:t>、物流</w:t>
      </w:r>
      <w:r>
        <w:t>配送</w:t>
      </w:r>
      <w:r>
        <w:rPr>
          <w:rFonts w:hint="eastAsia"/>
        </w:rPr>
        <w:t>等</w:t>
      </w:r>
      <w:r>
        <w:t>配套</w:t>
      </w:r>
      <w:r>
        <w:rPr>
          <w:rFonts w:hint="eastAsia"/>
        </w:rPr>
        <w:t>设施</w:t>
      </w:r>
      <w:r>
        <w:t>。</w:t>
      </w:r>
    </w:p>
    <w:p>
      <w:pPr>
        <w:ind w:firstLine="482"/>
        <w:rPr>
          <w:b/>
        </w:rPr>
      </w:pPr>
      <w:r>
        <w:rPr>
          <w:b/>
        </w:rPr>
        <w:t>2</w:t>
      </w:r>
      <w:r>
        <w:rPr>
          <w:rFonts w:hint="eastAsia"/>
          <w:b/>
        </w:rPr>
        <w:t>）建材</w:t>
      </w:r>
      <w:r>
        <w:rPr>
          <w:b/>
        </w:rPr>
        <w:t>市场</w:t>
      </w:r>
    </w:p>
    <w:p>
      <w:r>
        <w:rPr>
          <w:rFonts w:hint="eastAsia"/>
        </w:rPr>
        <w:t>河源市</w:t>
      </w:r>
      <w:r>
        <w:t>原有</w:t>
      </w:r>
      <w:r>
        <w:rPr>
          <w:rFonts w:hint="eastAsia"/>
        </w:rPr>
        <w:t>一处大</w:t>
      </w:r>
      <w:r>
        <w:t>鹏建材</w:t>
      </w:r>
      <w:r>
        <w:rPr>
          <w:rFonts w:hint="eastAsia"/>
        </w:rPr>
        <w:t>城</w:t>
      </w:r>
      <w:r>
        <w:t>，但由于项目烂尾，导致该专业市场未能</w:t>
      </w:r>
      <w:r>
        <w:rPr>
          <w:rFonts w:hint="eastAsia"/>
        </w:rPr>
        <w:t>投入</w:t>
      </w:r>
      <w:r>
        <w:t>使用。规划期内</w:t>
      </w:r>
      <w:r>
        <w:rPr>
          <w:rFonts w:hint="eastAsia"/>
        </w:rPr>
        <w:t>，</w:t>
      </w:r>
      <w:r>
        <w:t>为整合河源市建材市场资料、打造服务本地的建设交易市场，建议</w:t>
      </w:r>
      <w:r>
        <w:rPr>
          <w:rFonts w:hint="eastAsia"/>
        </w:rPr>
        <w:t>致力解决</w:t>
      </w:r>
      <w:r>
        <w:t>大鹏建材城的烂尾问题，</w:t>
      </w:r>
      <w:r>
        <w:rPr>
          <w:rFonts w:hint="eastAsia"/>
        </w:rPr>
        <w:t>使其</w:t>
      </w:r>
      <w:r>
        <w:t>尽快</w:t>
      </w:r>
      <w:r>
        <w:rPr>
          <w:rFonts w:hint="eastAsia"/>
        </w:rPr>
        <w:t>投入</w:t>
      </w:r>
      <w:r>
        <w:t>使用，填补河源市</w:t>
      </w:r>
      <w:r>
        <w:rPr>
          <w:rFonts w:hint="eastAsia"/>
        </w:rPr>
        <w:t>大型</w:t>
      </w:r>
      <w:r>
        <w:t>建材市场的空白。</w:t>
      </w:r>
    </w:p>
    <w:p>
      <w:pPr>
        <w:ind w:firstLine="482"/>
        <w:rPr>
          <w:b/>
        </w:rPr>
      </w:pPr>
      <w:r>
        <w:rPr>
          <w:b/>
        </w:rPr>
        <w:t>3</w:t>
      </w:r>
      <w:r>
        <w:rPr>
          <w:rFonts w:hint="eastAsia"/>
          <w:b/>
        </w:rPr>
        <w:t>）汽车</w:t>
      </w:r>
      <w:r>
        <w:rPr>
          <w:b/>
        </w:rPr>
        <w:t>配</w:t>
      </w:r>
      <w:r>
        <w:rPr>
          <w:rFonts w:hint="eastAsia"/>
          <w:b/>
        </w:rPr>
        <w:t>件市场</w:t>
      </w:r>
    </w:p>
    <w:p>
      <w:r>
        <w:rPr>
          <w:rFonts w:hint="eastAsia"/>
        </w:rPr>
        <w:t>河源市尚</w:t>
      </w:r>
      <w:r>
        <w:t>未有</w:t>
      </w:r>
      <w:r>
        <w:rPr>
          <w:rFonts w:hint="eastAsia"/>
        </w:rPr>
        <w:t>成</w:t>
      </w:r>
      <w:r>
        <w:t>规模</w:t>
      </w:r>
      <w:r>
        <w:rPr>
          <w:rFonts w:hint="eastAsia"/>
        </w:rPr>
        <w:t>的汽配产业，但</w:t>
      </w:r>
      <w:r>
        <w:t>现状有华锋、一通两大汽配市场。</w:t>
      </w:r>
      <w:r>
        <w:rPr>
          <w:rFonts w:hint="eastAsia"/>
        </w:rPr>
        <w:t>规划期内，围绕着</w:t>
      </w:r>
      <w:r>
        <w:t>这两大</w:t>
      </w:r>
      <w:r>
        <w:rPr>
          <w:rFonts w:hint="eastAsia"/>
        </w:rPr>
        <w:t>汽配市场，</w:t>
      </w:r>
      <w:r>
        <w:t>整合</w:t>
      </w:r>
      <w:r>
        <w:rPr>
          <w:rFonts w:hint="eastAsia"/>
        </w:rPr>
        <w:t>汽配</w:t>
      </w:r>
      <w:r>
        <w:t>资源环境，</w:t>
      </w:r>
      <w:r>
        <w:rPr>
          <w:rFonts w:hint="eastAsia"/>
        </w:rPr>
        <w:t>积极完善市场功能、电子信息系统，</w:t>
      </w:r>
      <w:r>
        <w:t>形成</w:t>
      </w:r>
      <w:r>
        <w:rPr>
          <w:rFonts w:hint="eastAsia"/>
        </w:rPr>
        <w:t>大型专业化市场，打造面向本市</w:t>
      </w:r>
      <w:r>
        <w:t>、本省乃至</w:t>
      </w:r>
      <w:r>
        <w:rPr>
          <w:rFonts w:hint="eastAsia"/>
        </w:rPr>
        <w:t>国内的</w:t>
      </w:r>
      <w:r>
        <w:t>知名市场</w:t>
      </w:r>
      <w:r>
        <w:rPr>
          <w:rFonts w:hint="eastAsia"/>
        </w:rPr>
        <w:t>品牌，并控制新增同类市场。</w:t>
      </w:r>
    </w:p>
    <w:p>
      <w:pPr>
        <w:ind w:firstLine="482"/>
      </w:pPr>
      <w:r>
        <w:rPr>
          <w:b/>
        </w:rPr>
        <w:t>4</w:t>
      </w:r>
      <w:r>
        <w:rPr>
          <w:rFonts w:hint="eastAsia"/>
          <w:b/>
        </w:rPr>
        <w:t>）五金</w:t>
      </w:r>
      <w:r>
        <w:rPr>
          <w:b/>
        </w:rPr>
        <w:t>模具</w:t>
      </w:r>
      <w:r>
        <w:rPr>
          <w:rFonts w:hint="eastAsia"/>
          <w:b/>
        </w:rPr>
        <w:t>市场</w:t>
      </w:r>
    </w:p>
    <w:p>
      <w:r>
        <w:rPr>
          <w:rFonts w:hint="eastAsia"/>
        </w:rPr>
        <w:t>河源市</w:t>
      </w:r>
      <w:r>
        <w:t>的五金模具产业主要位于高新区模具产业城内，现状有龙记等</w:t>
      </w:r>
      <w:r>
        <w:rPr>
          <w:rFonts w:hint="eastAsia"/>
        </w:rPr>
        <w:t>数</w:t>
      </w:r>
      <w:r>
        <w:t>家国内知名</w:t>
      </w:r>
      <w:r>
        <w:rPr>
          <w:rFonts w:hint="eastAsia"/>
        </w:rPr>
        <w:t>品牌，服务本地五金模具产业分销的专业市场建设仍是空白。规划期</w:t>
      </w:r>
      <w:r>
        <w:t>内，</w:t>
      </w:r>
      <w:r>
        <w:rPr>
          <w:rFonts w:hint="eastAsia"/>
        </w:rPr>
        <w:t>在高新区适度发展大型五金模具市场。</w:t>
      </w:r>
    </w:p>
    <w:p>
      <w:pPr>
        <w:pStyle w:val="3"/>
      </w:pPr>
      <w:bookmarkStart w:id="27" w:name="_Toc505769281"/>
      <w:r>
        <w:rPr>
          <w:rFonts w:hint="eastAsia"/>
        </w:rPr>
        <w:t>农产品批发市场和零售网络的规划布局</w:t>
      </w:r>
      <w:bookmarkEnd w:id="27"/>
    </w:p>
    <w:p>
      <w:pPr>
        <w:ind w:firstLine="482"/>
        <w:rPr>
          <w:b/>
        </w:rPr>
      </w:pPr>
      <w:r>
        <w:rPr>
          <w:rFonts w:hint="eastAsia"/>
          <w:b/>
        </w:rPr>
        <w:t>（</w:t>
      </w:r>
      <w:r>
        <w:rPr>
          <w:b/>
        </w:rPr>
        <w:t>1）</w:t>
      </w:r>
      <w:r>
        <w:rPr>
          <w:rFonts w:hint="eastAsia"/>
          <w:b/>
        </w:rPr>
        <w:t>布局</w:t>
      </w:r>
      <w:r>
        <w:rPr>
          <w:b/>
        </w:rPr>
        <w:t>要点</w:t>
      </w:r>
    </w:p>
    <w:p>
      <w:pPr>
        <w:ind w:firstLine="482"/>
        <w:rPr>
          <w:b/>
        </w:rPr>
      </w:pPr>
      <w:r>
        <w:rPr>
          <w:rFonts w:hint="eastAsia"/>
          <w:b/>
        </w:rPr>
        <w:t>1）农产品</w:t>
      </w:r>
      <w:r>
        <w:rPr>
          <w:b/>
        </w:rPr>
        <w:t>批发市场</w:t>
      </w:r>
    </w:p>
    <w:p>
      <w:r>
        <w:rPr>
          <w:rFonts w:hint="eastAsia"/>
        </w:rPr>
        <w:t>目前全市农产品</w:t>
      </w:r>
      <w:r>
        <w:t>批发市场主要有2</w:t>
      </w:r>
      <w:r>
        <w:rPr>
          <w:rFonts w:hint="eastAsia"/>
        </w:rPr>
        <w:t>处</w:t>
      </w:r>
      <w:r>
        <w:t>：河源市农产品流通中心</w:t>
      </w:r>
      <w:r>
        <w:rPr>
          <w:rFonts w:hint="eastAsia"/>
        </w:rPr>
        <w:t>和河源市农副产品批发中心。剩余</w:t>
      </w:r>
      <w:r>
        <w:t>皆为小规模、低交易量的零售批发市场。</w:t>
      </w:r>
      <w:r>
        <w:rPr>
          <w:rFonts w:hint="eastAsia"/>
        </w:rPr>
        <w:t>这表明本市农产品批发市场规模较小，交易规模偏小，集散能力较弱，缺少辐射范围广、功能完善、交易方式先进的现代化农产品市场。</w:t>
      </w:r>
    </w:p>
    <w:p>
      <w:r>
        <w:rPr>
          <w:rFonts w:hint="eastAsia"/>
        </w:rPr>
        <w:t>规划近期，整合现有农产品批发市场，在埔前</w:t>
      </w:r>
      <w:r>
        <w:t>、临近等交通条件较好的</w:t>
      </w:r>
      <w:r>
        <w:rPr>
          <w:rFonts w:hint="eastAsia"/>
        </w:rPr>
        <w:t>镇</w:t>
      </w:r>
      <w:r>
        <w:t>区</w:t>
      </w:r>
      <w:r>
        <w:rPr>
          <w:rFonts w:hint="eastAsia"/>
        </w:rPr>
        <w:t>重点发展农产品批发市场；增</w:t>
      </w:r>
      <w:r>
        <w:t>设花卉、牲畜、</w:t>
      </w:r>
      <w:r>
        <w:rPr>
          <w:rFonts w:hint="eastAsia"/>
        </w:rPr>
        <w:t>水果</w:t>
      </w:r>
      <w:r>
        <w:t>等不同类型的农</w:t>
      </w:r>
      <w:r>
        <w:rPr>
          <w:rFonts w:hint="eastAsia"/>
        </w:rPr>
        <w:t>产品</w:t>
      </w:r>
      <w:r>
        <w:t>批发市场，丰富</w:t>
      </w:r>
      <w:r>
        <w:rPr>
          <w:rFonts w:hint="eastAsia"/>
        </w:rPr>
        <w:t>批发</w:t>
      </w:r>
      <w:r>
        <w:t>市场功能，</w:t>
      </w:r>
      <w:r>
        <w:rPr>
          <w:rFonts w:hint="eastAsia"/>
        </w:rPr>
        <w:t>鼓励发展深加工、精加工，引入新型交易方式，开展配套的物流配送服务。</w:t>
      </w:r>
    </w:p>
    <w:p>
      <w:pPr>
        <w:ind w:firstLine="482"/>
        <w:rPr>
          <w:b/>
        </w:rPr>
      </w:pPr>
      <w:r>
        <w:rPr>
          <w:b/>
        </w:rPr>
        <w:t>2</w:t>
      </w:r>
      <w:r>
        <w:rPr>
          <w:rFonts w:hint="eastAsia"/>
          <w:b/>
        </w:rPr>
        <w:t>）农产品零售</w:t>
      </w:r>
      <w:r>
        <w:rPr>
          <w:b/>
        </w:rPr>
        <w:t>网络</w:t>
      </w:r>
    </w:p>
    <w:p>
      <w:r>
        <w:rPr>
          <w:rFonts w:hint="eastAsia"/>
        </w:rPr>
        <w:t>目前，河源市的农产品零售网络以农贸市场为主导，新型街市和生鲜食品超市尚处于</w:t>
      </w:r>
      <w:r>
        <w:t>起步阶段</w:t>
      </w:r>
      <w:r>
        <w:rPr>
          <w:rFonts w:hint="eastAsia"/>
        </w:rPr>
        <w:t>，并快速发展，“马路市场”甚至在城市中心区域仍然存在。</w:t>
      </w:r>
    </w:p>
    <w:p>
      <w:pPr>
        <w:rPr>
          <w:color w:val="FF0000"/>
        </w:rPr>
      </w:pPr>
      <w:r>
        <w:rPr>
          <w:rFonts w:hint="eastAsia"/>
        </w:rPr>
        <w:t>规划近期，加强农贸市场基础设施建设，改善市场交易环境，完善市场服务功能。建设一批示范性农贸市场，以促使农贸市场的升级转型，鼓励发展生鲜食品超市。</w:t>
      </w:r>
    </w:p>
    <w:p>
      <w:r>
        <w:rPr>
          <w:rFonts w:hint="eastAsia"/>
        </w:rPr>
        <w:t>规划远期，规划区农贸市场达到饱和状态，基础设施完善、交易环境良好。利用日益发达的物流配送服务，做到农产品配送到超市，引导农贸市场向超市化转移。</w:t>
      </w:r>
    </w:p>
    <w:p>
      <w:r>
        <w:drawing>
          <wp:inline distT="0" distB="0" distL="0" distR="0">
            <wp:extent cx="5274310" cy="7458075"/>
            <wp:effectExtent l="0" t="0" r="2540" b="9525"/>
            <wp:docPr id="12" name="图片 12" descr="C:\Users\Administrator\Desktop\页面提取自－2018.02.09 规划图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页面提取自－2018.02.09 规划图纸.jpg"/>
                    <pic:cNvPicPr>
                      <a:picLocks noChangeAspect="1" noChangeArrowheads="1"/>
                    </pic:cNvPicPr>
                  </pic:nvPicPr>
                  <pic:blipFill>
                    <a:blip r:embed="rId8" cstate="email"/>
                    <a:srcRect/>
                    <a:stretch>
                      <a:fillRect/>
                    </a:stretch>
                  </pic:blipFill>
                  <pic:spPr>
                    <a:xfrm>
                      <a:off x="0" y="0"/>
                      <a:ext cx="5274310" cy="7458660"/>
                    </a:xfrm>
                    <a:prstGeom prst="rect">
                      <a:avLst/>
                    </a:prstGeom>
                    <a:noFill/>
                    <a:ln>
                      <a:noFill/>
                    </a:ln>
                  </pic:spPr>
                </pic:pic>
              </a:graphicData>
            </a:graphic>
          </wp:inline>
        </w:drawing>
      </w:r>
    </w:p>
    <w:p>
      <w:pPr>
        <w:ind w:firstLine="422" w:firstLineChars="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3</w:t>
      </w:r>
      <w:r>
        <w:rPr>
          <w:rFonts w:hint="eastAsia"/>
          <w:b/>
          <w:sz w:val="21"/>
          <w:szCs w:val="21"/>
        </w:rPr>
        <w:t xml:space="preserve"> 河源市中心城区交易市场规划图</w:t>
      </w:r>
    </w:p>
    <w:p/>
    <w:p>
      <w:pPr>
        <w:pStyle w:val="3"/>
      </w:pPr>
      <w:bookmarkStart w:id="28" w:name="_Toc455131362"/>
      <w:bookmarkStart w:id="29" w:name="_Toc505769282"/>
      <w:r>
        <w:rPr>
          <w:rFonts w:hint="eastAsia"/>
        </w:rPr>
        <w:t>物流服务业规划布局</w:t>
      </w:r>
      <w:bookmarkEnd w:id="28"/>
      <w:bookmarkEnd w:id="29"/>
    </w:p>
    <w:p>
      <w:pPr>
        <w:pStyle w:val="4"/>
        <w:spacing w:before="156" w:after="156"/>
        <w:rPr>
          <w:kern w:val="0"/>
        </w:rPr>
      </w:pPr>
      <w:r>
        <w:rPr>
          <w:rFonts w:hint="eastAsia"/>
          <w:kern w:val="0"/>
        </w:rPr>
        <w:t>布局要点</w:t>
      </w:r>
    </w:p>
    <w:p>
      <w:pPr>
        <w:ind w:firstLine="482"/>
        <w:rPr>
          <w:b/>
        </w:rPr>
      </w:pPr>
      <w:r>
        <w:rPr>
          <w:rFonts w:hint="eastAsia"/>
          <w:b/>
        </w:rPr>
        <w:t>（1）规划要点</w:t>
      </w:r>
    </w:p>
    <w:p>
      <w:pPr>
        <w:rPr>
          <w:kern w:val="0"/>
        </w:rPr>
      </w:pPr>
      <w:r>
        <w:rPr>
          <w:rFonts w:hint="eastAsia"/>
          <w:kern w:val="0"/>
        </w:rPr>
        <w:t>打造珠三角东部物资集散中心，国家物流网络区域节点，中欧贸易华南陆路大通道桥头堡。围绕“粤新欧”班列打造便捷高效的流体系，无缝连接，一站通欧。做好多式联运，形成海陆空无缝对接的综合立体交通。加快路网建设，与深广莞惠梅揭韶汕形成便捷高效的速通路网。做好集货、中转、配送一体化综合性物流园区，</w:t>
      </w:r>
      <w:r>
        <w:rPr>
          <w:rFonts w:hint="eastAsia"/>
          <w:kern w:val="0"/>
          <w:lang w:eastAsia="zh-CN"/>
        </w:rPr>
        <w:t>承担</w:t>
      </w:r>
      <w:r>
        <w:rPr>
          <w:rFonts w:hint="eastAsia"/>
          <w:kern w:val="0"/>
        </w:rPr>
        <w:t>区域物流功能。积极向国家、向铁总争取更为重要的物流功能定位，进入国家和广东省规划。</w:t>
      </w:r>
    </w:p>
    <w:p>
      <w:pPr>
        <w:ind w:firstLine="482"/>
        <w:rPr>
          <w:b/>
        </w:rPr>
      </w:pPr>
      <w:r>
        <w:rPr>
          <w:rFonts w:hint="eastAsia"/>
          <w:b/>
        </w:rPr>
        <w:t>（2）布局要点</w:t>
      </w:r>
    </w:p>
    <w:p>
      <w:r>
        <w:rPr>
          <w:rFonts w:hint="eastAsia"/>
        </w:rPr>
        <w:t>根据《河源市物流</w:t>
      </w:r>
      <w:r>
        <w:t>产业</w:t>
      </w:r>
      <w:r>
        <w:rPr>
          <w:rFonts w:hint="eastAsia"/>
        </w:rPr>
        <w:t>发展</w:t>
      </w:r>
      <w:r>
        <w:t>规划》</w:t>
      </w:r>
      <w:r>
        <w:rPr>
          <w:rFonts w:hint="eastAsia"/>
        </w:rPr>
        <w:t>对</w:t>
      </w:r>
      <w:r>
        <w:t>河源市</w:t>
      </w:r>
      <w:r>
        <w:rPr>
          <w:rFonts w:hint="eastAsia"/>
        </w:rPr>
        <w:t>物流</w:t>
      </w:r>
      <w:r>
        <w:t>产业的发展研究，</w:t>
      </w:r>
      <w:r>
        <w:rPr>
          <w:rFonts w:hint="eastAsia"/>
        </w:rPr>
        <w:t>提出构建产业</w:t>
      </w:r>
      <w:r>
        <w:t>与空间</w:t>
      </w:r>
      <w:r>
        <w:rPr>
          <w:rFonts w:hint="eastAsia"/>
        </w:rPr>
        <w:t>对应的</w:t>
      </w:r>
      <w:r>
        <w:t>现代</w:t>
      </w:r>
      <w:r>
        <w:rPr>
          <w:rFonts w:hint="eastAsia"/>
        </w:rPr>
        <w:t>物流</w:t>
      </w:r>
      <w:r>
        <w:t>体系</w:t>
      </w:r>
      <w:r>
        <w:rPr>
          <w:rFonts w:hint="eastAsia"/>
        </w:rPr>
        <w:t>：</w:t>
      </w:r>
    </w:p>
    <w:p>
      <w:pPr>
        <w:ind w:firstLine="0" w:firstLineChars="0"/>
        <w:rPr>
          <w:b/>
        </w:rPr>
      </w:pPr>
      <w:r>
        <w:rPr>
          <w:b/>
        </w:rPr>
        <w:drawing>
          <wp:inline distT="0" distB="0" distL="0" distR="0">
            <wp:extent cx="4937760" cy="3321685"/>
            <wp:effectExtent l="0" t="0" r="0" b="0"/>
            <wp:docPr id="9" name="图片 9" descr="C:\Users\Administrator\Desktop\图片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图片ccc.png"/>
                    <pic:cNvPicPr>
                      <a:picLocks noChangeAspect="1" noChangeArrowheads="1"/>
                    </pic:cNvPicPr>
                  </pic:nvPicPr>
                  <pic:blipFill>
                    <a:blip r:embed="rId9" cstate="email"/>
                    <a:srcRect/>
                    <a:stretch>
                      <a:fillRect/>
                    </a:stretch>
                  </pic:blipFill>
                  <pic:spPr>
                    <a:xfrm>
                      <a:off x="0" y="0"/>
                      <a:ext cx="4941956" cy="3324807"/>
                    </a:xfrm>
                    <a:prstGeom prst="rect">
                      <a:avLst/>
                    </a:prstGeom>
                    <a:noFill/>
                    <a:ln>
                      <a:noFill/>
                    </a:ln>
                  </pic:spPr>
                </pic:pic>
              </a:graphicData>
            </a:graphic>
          </wp:inline>
        </w:drawing>
      </w:r>
    </w:p>
    <w:p>
      <w:pPr>
        <w:spacing w:before="240"/>
        <w:ind w:firstLine="420" w:firstLineChars="0"/>
        <w:jc w:val="center"/>
        <w:rPr>
          <w:b/>
          <w:sz w:val="21"/>
          <w:szCs w:val="21"/>
        </w:rPr>
      </w:pPr>
      <w:r>
        <w:rPr>
          <w:rFonts w:hint="eastAsia"/>
          <w:b/>
          <w:sz w:val="21"/>
          <w:szCs w:val="21"/>
        </w:rPr>
        <w:t>表</w:t>
      </w:r>
      <w:r>
        <w:rPr>
          <w:b/>
          <w:sz w:val="21"/>
          <w:szCs w:val="21"/>
        </w:rPr>
        <w:t>5-4</w:t>
      </w:r>
      <w:r>
        <w:rPr>
          <w:rFonts w:hint="eastAsia"/>
          <w:b/>
          <w:sz w:val="21"/>
          <w:szCs w:val="21"/>
        </w:rPr>
        <w:t xml:space="preserve">  河源市物流体系分析图</w:t>
      </w:r>
    </w:p>
    <w:p>
      <w:pPr>
        <w:rPr>
          <w:kern w:val="0"/>
        </w:rPr>
      </w:pPr>
      <w:r>
        <w:rPr>
          <w:rFonts w:hint="eastAsia"/>
          <w:kern w:val="0"/>
        </w:rPr>
        <w:t>其中，中心城区重点打造：</w:t>
      </w:r>
      <w:r>
        <w:rPr>
          <w:rFonts w:hint="eastAsia"/>
          <w:b/>
          <w:kern w:val="0"/>
        </w:rPr>
        <w:t>一个信息平台、一个物流枢纽、一个区域</w:t>
      </w:r>
      <w:r>
        <w:rPr>
          <w:b/>
          <w:kern w:val="0"/>
        </w:rPr>
        <w:t>物流</w:t>
      </w:r>
      <w:r>
        <w:rPr>
          <w:rFonts w:hint="eastAsia"/>
          <w:b/>
          <w:kern w:val="0"/>
        </w:rPr>
        <w:t>、四大物流中心。</w:t>
      </w:r>
    </w:p>
    <w:p>
      <w:pPr>
        <w:ind w:firstLine="482"/>
        <w:rPr>
          <w:kern w:val="0"/>
        </w:rPr>
      </w:pPr>
      <w:r>
        <w:rPr>
          <w:rFonts w:hint="eastAsia"/>
          <w:b/>
          <w:kern w:val="0"/>
        </w:rPr>
        <w:t>信息平台</w:t>
      </w:r>
      <w:r>
        <w:rPr>
          <w:rFonts w:hint="eastAsia"/>
          <w:kern w:val="0"/>
        </w:rPr>
        <w:t>：建立以</w:t>
      </w:r>
      <w:r>
        <w:rPr>
          <w:kern w:val="0"/>
        </w:rPr>
        <w:t>市场为主导</w:t>
      </w:r>
      <w:r>
        <w:rPr>
          <w:rFonts w:hint="eastAsia"/>
          <w:kern w:val="0"/>
        </w:rPr>
        <w:t>、</w:t>
      </w:r>
      <w:r>
        <w:rPr>
          <w:kern w:val="0"/>
        </w:rPr>
        <w:t>企业为主</w:t>
      </w:r>
      <w:r>
        <w:rPr>
          <w:rFonts w:hint="eastAsia"/>
          <w:kern w:val="0"/>
        </w:rPr>
        <w:t>体</w:t>
      </w:r>
      <w:r>
        <w:rPr>
          <w:kern w:val="0"/>
        </w:rPr>
        <w:t>、政府给予引导和支持的物流信息服务平台</w:t>
      </w:r>
      <w:r>
        <w:rPr>
          <w:rFonts w:hint="eastAsia"/>
          <w:kern w:val="0"/>
        </w:rPr>
        <w:t>，能够对接其他城市物流公共信息服务平台。</w:t>
      </w:r>
    </w:p>
    <w:p>
      <w:pPr>
        <w:ind w:firstLine="482"/>
        <w:rPr>
          <w:kern w:val="0"/>
        </w:rPr>
      </w:pPr>
      <w:r>
        <w:rPr>
          <w:rFonts w:hint="eastAsia"/>
          <w:b/>
          <w:kern w:val="0"/>
        </w:rPr>
        <w:t>枢纽性</w:t>
      </w:r>
      <w:r>
        <w:rPr>
          <w:b/>
          <w:kern w:val="0"/>
        </w:rPr>
        <w:t>物流</w:t>
      </w:r>
      <w:r>
        <w:rPr>
          <w:rFonts w:hint="eastAsia"/>
          <w:kern w:val="0"/>
        </w:rPr>
        <w:t>：河源市高新区综合物流园；</w:t>
      </w:r>
    </w:p>
    <w:p>
      <w:pPr>
        <w:ind w:firstLine="482"/>
        <w:rPr>
          <w:kern w:val="0"/>
        </w:rPr>
      </w:pPr>
      <w:r>
        <w:rPr>
          <w:rFonts w:hint="eastAsia"/>
          <w:b/>
          <w:kern w:val="0"/>
        </w:rPr>
        <w:t>区域性</w:t>
      </w:r>
      <w:r>
        <w:rPr>
          <w:b/>
          <w:kern w:val="0"/>
        </w:rPr>
        <w:t>物流</w:t>
      </w:r>
      <w:r>
        <w:rPr>
          <w:rFonts w:hint="eastAsia"/>
          <w:kern w:val="0"/>
        </w:rPr>
        <w:t>：东源县商贸物流中心；</w:t>
      </w:r>
    </w:p>
    <w:p>
      <w:pPr>
        <w:ind w:firstLine="482"/>
      </w:pPr>
      <w:r>
        <w:rPr>
          <w:rFonts w:hint="eastAsia"/>
          <w:b/>
          <w:kern w:val="0"/>
        </w:rPr>
        <w:t>普通</w:t>
      </w:r>
      <w:r>
        <w:rPr>
          <w:b/>
          <w:kern w:val="0"/>
        </w:rPr>
        <w:t>功能性物流：</w:t>
      </w:r>
      <w:r>
        <w:rPr>
          <w:rFonts w:hint="eastAsia"/>
        </w:rPr>
        <w:t>深河产业城物流</w:t>
      </w:r>
      <w:r>
        <w:t>功能区</w:t>
      </w:r>
      <w:r>
        <w:rPr>
          <w:rFonts w:hint="eastAsia"/>
        </w:rPr>
        <w:t>、江东新区产业起步区物流</w:t>
      </w:r>
      <w:r>
        <w:t>功能区</w:t>
      </w:r>
      <w:r>
        <w:rPr>
          <w:rFonts w:hint="eastAsia"/>
        </w:rPr>
        <w:t>、大鹏（源城）产业转移园物流</w:t>
      </w:r>
      <w:r>
        <w:t>功能区</w:t>
      </w:r>
      <w:r>
        <w:rPr>
          <w:rFonts w:hint="eastAsia"/>
        </w:rPr>
        <w:t>、盐田（东源）产业转移园物流</w:t>
      </w:r>
      <w:r>
        <w:t>功能区</w:t>
      </w:r>
    </w:p>
    <w:p>
      <w:pPr>
        <w:ind w:firstLine="0" w:firstLineChars="0"/>
      </w:pPr>
      <w:r>
        <w:drawing>
          <wp:inline distT="0" distB="0" distL="0" distR="0">
            <wp:extent cx="5273675" cy="7315200"/>
            <wp:effectExtent l="0" t="0" r="3175" b="0"/>
            <wp:docPr id="13" name="图片 13" descr="C:\Users\Administrator\Desktop\页面提取自－2018.02.09 规划图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页面提取自－2018.02.09 规划图纸-2.jpg"/>
                    <pic:cNvPicPr>
                      <a:picLocks noChangeAspect="1" noChangeArrowheads="1"/>
                    </pic:cNvPicPr>
                  </pic:nvPicPr>
                  <pic:blipFill>
                    <a:blip r:embed="rId10" cstate="email"/>
                    <a:srcRect t="1022" b="914"/>
                    <a:stretch>
                      <a:fillRect/>
                    </a:stretch>
                  </pic:blipFill>
                  <pic:spPr>
                    <a:xfrm>
                      <a:off x="0" y="0"/>
                      <a:ext cx="5274310" cy="7316081"/>
                    </a:xfrm>
                    <a:prstGeom prst="rect">
                      <a:avLst/>
                    </a:prstGeom>
                    <a:noFill/>
                    <a:ln>
                      <a:noFill/>
                    </a:ln>
                  </pic:spPr>
                </pic:pic>
              </a:graphicData>
            </a:graphic>
          </wp:inline>
        </w:drawing>
      </w:r>
    </w:p>
    <w:p>
      <w:pPr>
        <w:ind w:firstLine="422" w:firstLineChars="0"/>
        <w:jc w:val="center"/>
        <w:rPr>
          <w:b/>
          <w:sz w:val="21"/>
          <w:szCs w:val="21"/>
        </w:rPr>
      </w:pPr>
      <w:r>
        <w:rPr>
          <w:rFonts w:hint="eastAsia"/>
          <w:b/>
          <w:sz w:val="21"/>
          <w:szCs w:val="21"/>
        </w:rPr>
        <w:t>图</w:t>
      </w:r>
      <w:r>
        <w:rPr>
          <w:b/>
          <w:sz w:val="21"/>
          <w:szCs w:val="21"/>
        </w:rPr>
        <w:t>5</w:t>
      </w:r>
      <w:r>
        <w:rPr>
          <w:rFonts w:hint="eastAsia"/>
          <w:b/>
          <w:sz w:val="21"/>
          <w:szCs w:val="21"/>
        </w:rPr>
        <w:t>-</w:t>
      </w:r>
      <w:r>
        <w:rPr>
          <w:b/>
          <w:sz w:val="21"/>
          <w:szCs w:val="21"/>
        </w:rPr>
        <w:t>5</w:t>
      </w:r>
      <w:r>
        <w:rPr>
          <w:rFonts w:hint="eastAsia"/>
          <w:b/>
          <w:sz w:val="21"/>
          <w:szCs w:val="21"/>
        </w:rPr>
        <w:t xml:space="preserve"> 河源市中心城区物流基地规划图</w:t>
      </w:r>
    </w:p>
    <w:sectPr>
      <w:footerReference r:id="rId3" w:type="default"/>
      <w:pgSz w:w="11906" w:h="16838"/>
      <w:pgMar w:top="1440" w:right="1519" w:bottom="1440" w:left="1519"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276919"/>
    </w:sdtPr>
    <w:sdtContent>
      <w:p>
        <w:pPr>
          <w:pStyle w:val="13"/>
          <w:ind w:firstLine="360"/>
          <w:jc w:val="cente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A1BD6"/>
    <w:multiLevelType w:val="multilevel"/>
    <w:tmpl w:val="2E4A1BD6"/>
    <w:lvl w:ilvl="0" w:tentative="0">
      <w:start w:val="1"/>
      <w:numFmt w:val="chineseCountingThousand"/>
      <w:pStyle w:val="2"/>
      <w:suff w:val="space"/>
      <w:lvlText w:val="%1"/>
      <w:lvlJc w:val="left"/>
      <w:pPr>
        <w:ind w:left="0" w:firstLine="0"/>
      </w:pPr>
      <w:rPr>
        <w:rFonts w:hint="eastAsia" w:eastAsia="宋体"/>
        <w:b/>
        <w:sz w:val="28"/>
      </w:rPr>
    </w:lvl>
    <w:lvl w:ilvl="1" w:tentative="0">
      <w:start w:val="1"/>
      <w:numFmt w:val="decimal"/>
      <w:pStyle w:val="3"/>
      <w:isLgl/>
      <w:suff w:val="space"/>
      <w:lvlText w:val="%1.%2"/>
      <w:lvlJc w:val="left"/>
      <w:pPr>
        <w:ind w:left="0" w:firstLine="0"/>
      </w:pPr>
      <w:rPr>
        <w:rFonts w:hint="eastAsia" w:ascii="宋体" w:hAnsi="宋体" w:eastAsia="宋体"/>
      </w:rPr>
    </w:lvl>
    <w:lvl w:ilvl="2" w:tentative="0">
      <w:start w:val="1"/>
      <w:numFmt w:val="decimal"/>
      <w:pStyle w:val="4"/>
      <w:isLgl/>
      <w:suff w:val="space"/>
      <w:lvlText w:val="%1.%2.%3"/>
      <w:lvlJc w:val="left"/>
      <w:pPr>
        <w:ind w:left="0" w:firstLine="0"/>
      </w:pPr>
      <w:rPr>
        <w:rFonts w:hint="eastAsia" w:eastAsia="宋体" w:asciiTheme="minorEastAsia" w:hAnsiTheme="minorEastAsia"/>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80"/>
    <w:rsid w:val="0000084F"/>
    <w:rsid w:val="00002BE6"/>
    <w:rsid w:val="0000453C"/>
    <w:rsid w:val="000140D0"/>
    <w:rsid w:val="000204ED"/>
    <w:rsid w:val="0002751C"/>
    <w:rsid w:val="000319AF"/>
    <w:rsid w:val="0003295F"/>
    <w:rsid w:val="00033EAD"/>
    <w:rsid w:val="00037F8A"/>
    <w:rsid w:val="0004368B"/>
    <w:rsid w:val="00052156"/>
    <w:rsid w:val="0005355D"/>
    <w:rsid w:val="00066FA6"/>
    <w:rsid w:val="00071580"/>
    <w:rsid w:val="00073850"/>
    <w:rsid w:val="00077FBD"/>
    <w:rsid w:val="0008340F"/>
    <w:rsid w:val="000836D5"/>
    <w:rsid w:val="00095F86"/>
    <w:rsid w:val="000A2D11"/>
    <w:rsid w:val="000A4FAE"/>
    <w:rsid w:val="000A6843"/>
    <w:rsid w:val="000A75D5"/>
    <w:rsid w:val="000C21C9"/>
    <w:rsid w:val="000D4544"/>
    <w:rsid w:val="000D4F84"/>
    <w:rsid w:val="000D6ACF"/>
    <w:rsid w:val="000D703D"/>
    <w:rsid w:val="000E3DB3"/>
    <w:rsid w:val="000E560F"/>
    <w:rsid w:val="000F08CF"/>
    <w:rsid w:val="000F1208"/>
    <w:rsid w:val="000F704A"/>
    <w:rsid w:val="001064ED"/>
    <w:rsid w:val="001110AC"/>
    <w:rsid w:val="001218B0"/>
    <w:rsid w:val="00123379"/>
    <w:rsid w:val="00136358"/>
    <w:rsid w:val="00141054"/>
    <w:rsid w:val="001411E9"/>
    <w:rsid w:val="00142AA9"/>
    <w:rsid w:val="00150186"/>
    <w:rsid w:val="00150C2D"/>
    <w:rsid w:val="001567A9"/>
    <w:rsid w:val="0016054E"/>
    <w:rsid w:val="00161AB9"/>
    <w:rsid w:val="00163D13"/>
    <w:rsid w:val="00165F91"/>
    <w:rsid w:val="001724C5"/>
    <w:rsid w:val="00173F8B"/>
    <w:rsid w:val="00177A76"/>
    <w:rsid w:val="00183FF6"/>
    <w:rsid w:val="001850D2"/>
    <w:rsid w:val="00193AF0"/>
    <w:rsid w:val="00197CA8"/>
    <w:rsid w:val="001A245B"/>
    <w:rsid w:val="001A2517"/>
    <w:rsid w:val="001A3118"/>
    <w:rsid w:val="001A5570"/>
    <w:rsid w:val="001A6EDA"/>
    <w:rsid w:val="001B745E"/>
    <w:rsid w:val="001C12F1"/>
    <w:rsid w:val="001C3D3A"/>
    <w:rsid w:val="001C7484"/>
    <w:rsid w:val="001D454E"/>
    <w:rsid w:val="001D75C4"/>
    <w:rsid w:val="001E0D34"/>
    <w:rsid w:val="001E5765"/>
    <w:rsid w:val="001E6DF8"/>
    <w:rsid w:val="001F0817"/>
    <w:rsid w:val="001F3828"/>
    <w:rsid w:val="001F5562"/>
    <w:rsid w:val="001F5655"/>
    <w:rsid w:val="001F6C74"/>
    <w:rsid w:val="00200E82"/>
    <w:rsid w:val="00202CB2"/>
    <w:rsid w:val="00203B3A"/>
    <w:rsid w:val="00203CE1"/>
    <w:rsid w:val="00207144"/>
    <w:rsid w:val="00207560"/>
    <w:rsid w:val="00211BF2"/>
    <w:rsid w:val="0021286B"/>
    <w:rsid w:val="002157EC"/>
    <w:rsid w:val="002165C2"/>
    <w:rsid w:val="00217EF7"/>
    <w:rsid w:val="0023561D"/>
    <w:rsid w:val="00237EF0"/>
    <w:rsid w:val="00245D31"/>
    <w:rsid w:val="00247402"/>
    <w:rsid w:val="00251629"/>
    <w:rsid w:val="00251CB1"/>
    <w:rsid w:val="00255B63"/>
    <w:rsid w:val="0026006A"/>
    <w:rsid w:val="00263F06"/>
    <w:rsid w:val="0026621D"/>
    <w:rsid w:val="00272BC7"/>
    <w:rsid w:val="00283BA7"/>
    <w:rsid w:val="00287194"/>
    <w:rsid w:val="00293533"/>
    <w:rsid w:val="0029400D"/>
    <w:rsid w:val="00295265"/>
    <w:rsid w:val="00297F5F"/>
    <w:rsid w:val="002A090D"/>
    <w:rsid w:val="002A3154"/>
    <w:rsid w:val="002A6B74"/>
    <w:rsid w:val="002A7225"/>
    <w:rsid w:val="002B12EF"/>
    <w:rsid w:val="002C0DCE"/>
    <w:rsid w:val="002C17A0"/>
    <w:rsid w:val="002C1E19"/>
    <w:rsid w:val="002C7A85"/>
    <w:rsid w:val="002D084A"/>
    <w:rsid w:val="002D10A7"/>
    <w:rsid w:val="002D3674"/>
    <w:rsid w:val="002D3A42"/>
    <w:rsid w:val="002D6FD8"/>
    <w:rsid w:val="002E5362"/>
    <w:rsid w:val="002F065F"/>
    <w:rsid w:val="002F07B9"/>
    <w:rsid w:val="002F0A68"/>
    <w:rsid w:val="002F0B39"/>
    <w:rsid w:val="002F22D7"/>
    <w:rsid w:val="002F3EA4"/>
    <w:rsid w:val="002F5AC4"/>
    <w:rsid w:val="003017EF"/>
    <w:rsid w:val="003021F4"/>
    <w:rsid w:val="0030791E"/>
    <w:rsid w:val="0031115E"/>
    <w:rsid w:val="00322225"/>
    <w:rsid w:val="00322930"/>
    <w:rsid w:val="00325A3D"/>
    <w:rsid w:val="00332505"/>
    <w:rsid w:val="00332899"/>
    <w:rsid w:val="00333389"/>
    <w:rsid w:val="00345209"/>
    <w:rsid w:val="003573D9"/>
    <w:rsid w:val="00363F7E"/>
    <w:rsid w:val="00367200"/>
    <w:rsid w:val="00373174"/>
    <w:rsid w:val="0037574D"/>
    <w:rsid w:val="00376101"/>
    <w:rsid w:val="00383345"/>
    <w:rsid w:val="00384742"/>
    <w:rsid w:val="00387605"/>
    <w:rsid w:val="00390DED"/>
    <w:rsid w:val="00392222"/>
    <w:rsid w:val="00392EFA"/>
    <w:rsid w:val="00394D1E"/>
    <w:rsid w:val="003A48A8"/>
    <w:rsid w:val="003B1EC6"/>
    <w:rsid w:val="003B53A5"/>
    <w:rsid w:val="003C2AA9"/>
    <w:rsid w:val="003D1490"/>
    <w:rsid w:val="003E3F04"/>
    <w:rsid w:val="003E51B7"/>
    <w:rsid w:val="003E5B18"/>
    <w:rsid w:val="003F1D22"/>
    <w:rsid w:val="003F4DE5"/>
    <w:rsid w:val="003F579C"/>
    <w:rsid w:val="00400EB5"/>
    <w:rsid w:val="004022CF"/>
    <w:rsid w:val="00404DA2"/>
    <w:rsid w:val="00411F8C"/>
    <w:rsid w:val="004233E7"/>
    <w:rsid w:val="004252DA"/>
    <w:rsid w:val="00425E4B"/>
    <w:rsid w:val="00433C73"/>
    <w:rsid w:val="00433DC1"/>
    <w:rsid w:val="00440039"/>
    <w:rsid w:val="00441939"/>
    <w:rsid w:val="00445D65"/>
    <w:rsid w:val="004473E6"/>
    <w:rsid w:val="00447961"/>
    <w:rsid w:val="00450E89"/>
    <w:rsid w:val="00460DA3"/>
    <w:rsid w:val="00462A82"/>
    <w:rsid w:val="00462D48"/>
    <w:rsid w:val="0046367C"/>
    <w:rsid w:val="00466E35"/>
    <w:rsid w:val="004678FF"/>
    <w:rsid w:val="004734AD"/>
    <w:rsid w:val="00475E76"/>
    <w:rsid w:val="00481B43"/>
    <w:rsid w:val="00485EAA"/>
    <w:rsid w:val="00486B00"/>
    <w:rsid w:val="00494DB8"/>
    <w:rsid w:val="00495A24"/>
    <w:rsid w:val="004A6D87"/>
    <w:rsid w:val="004A6EB1"/>
    <w:rsid w:val="004B68CE"/>
    <w:rsid w:val="004C34DA"/>
    <w:rsid w:val="004C4D36"/>
    <w:rsid w:val="004C527C"/>
    <w:rsid w:val="004D4B12"/>
    <w:rsid w:val="004E1E5E"/>
    <w:rsid w:val="004E3528"/>
    <w:rsid w:val="004E78EA"/>
    <w:rsid w:val="004F76F4"/>
    <w:rsid w:val="00502816"/>
    <w:rsid w:val="005053A1"/>
    <w:rsid w:val="00510E7D"/>
    <w:rsid w:val="005140AF"/>
    <w:rsid w:val="005262B6"/>
    <w:rsid w:val="00526709"/>
    <w:rsid w:val="00531746"/>
    <w:rsid w:val="005534CE"/>
    <w:rsid w:val="00557068"/>
    <w:rsid w:val="005576DE"/>
    <w:rsid w:val="00560A3D"/>
    <w:rsid w:val="00563C7B"/>
    <w:rsid w:val="0056572A"/>
    <w:rsid w:val="005701F5"/>
    <w:rsid w:val="00570B79"/>
    <w:rsid w:val="005813AD"/>
    <w:rsid w:val="00582BFE"/>
    <w:rsid w:val="00583823"/>
    <w:rsid w:val="00585C7B"/>
    <w:rsid w:val="0059168E"/>
    <w:rsid w:val="005930E5"/>
    <w:rsid w:val="00594723"/>
    <w:rsid w:val="005947F2"/>
    <w:rsid w:val="005B2A45"/>
    <w:rsid w:val="005B6391"/>
    <w:rsid w:val="005C0433"/>
    <w:rsid w:val="005C05DE"/>
    <w:rsid w:val="005C4DB6"/>
    <w:rsid w:val="005C5440"/>
    <w:rsid w:val="005E2F83"/>
    <w:rsid w:val="005E5B28"/>
    <w:rsid w:val="005E6881"/>
    <w:rsid w:val="005E778E"/>
    <w:rsid w:val="005F3E1B"/>
    <w:rsid w:val="0061657C"/>
    <w:rsid w:val="00620745"/>
    <w:rsid w:val="006328E9"/>
    <w:rsid w:val="00642B09"/>
    <w:rsid w:val="00645836"/>
    <w:rsid w:val="00663D0F"/>
    <w:rsid w:val="00670EC6"/>
    <w:rsid w:val="00687491"/>
    <w:rsid w:val="00687EC7"/>
    <w:rsid w:val="006B324D"/>
    <w:rsid w:val="006B7160"/>
    <w:rsid w:val="006B79D0"/>
    <w:rsid w:val="006C17D9"/>
    <w:rsid w:val="006C5D60"/>
    <w:rsid w:val="006D0158"/>
    <w:rsid w:val="006D39DF"/>
    <w:rsid w:val="006D3A47"/>
    <w:rsid w:val="006D4921"/>
    <w:rsid w:val="006E0BE5"/>
    <w:rsid w:val="006F08BB"/>
    <w:rsid w:val="007012B1"/>
    <w:rsid w:val="0070668C"/>
    <w:rsid w:val="0070789A"/>
    <w:rsid w:val="00710046"/>
    <w:rsid w:val="007118DC"/>
    <w:rsid w:val="0071500D"/>
    <w:rsid w:val="00715472"/>
    <w:rsid w:val="00717075"/>
    <w:rsid w:val="00720602"/>
    <w:rsid w:val="007215CE"/>
    <w:rsid w:val="007230B1"/>
    <w:rsid w:val="007246D7"/>
    <w:rsid w:val="007275B9"/>
    <w:rsid w:val="007275EE"/>
    <w:rsid w:val="007308E3"/>
    <w:rsid w:val="0073377B"/>
    <w:rsid w:val="007340B4"/>
    <w:rsid w:val="007349F6"/>
    <w:rsid w:val="00736914"/>
    <w:rsid w:val="0074585D"/>
    <w:rsid w:val="00746A4C"/>
    <w:rsid w:val="00750EA8"/>
    <w:rsid w:val="00756C36"/>
    <w:rsid w:val="00787DFC"/>
    <w:rsid w:val="007A203E"/>
    <w:rsid w:val="007A76AA"/>
    <w:rsid w:val="007B09C2"/>
    <w:rsid w:val="007B27F1"/>
    <w:rsid w:val="007B75A5"/>
    <w:rsid w:val="007C045F"/>
    <w:rsid w:val="007C415E"/>
    <w:rsid w:val="007C57BF"/>
    <w:rsid w:val="007C5BA5"/>
    <w:rsid w:val="007D018F"/>
    <w:rsid w:val="007D1930"/>
    <w:rsid w:val="007D4BDA"/>
    <w:rsid w:val="007D7170"/>
    <w:rsid w:val="007D7669"/>
    <w:rsid w:val="007E341F"/>
    <w:rsid w:val="007E5BD0"/>
    <w:rsid w:val="007E7590"/>
    <w:rsid w:val="007F594D"/>
    <w:rsid w:val="008034FC"/>
    <w:rsid w:val="00805DAA"/>
    <w:rsid w:val="0080774E"/>
    <w:rsid w:val="008164E5"/>
    <w:rsid w:val="00831302"/>
    <w:rsid w:val="008355DB"/>
    <w:rsid w:val="008356A0"/>
    <w:rsid w:val="0084011F"/>
    <w:rsid w:val="00846A71"/>
    <w:rsid w:val="00860ABD"/>
    <w:rsid w:val="00866B7F"/>
    <w:rsid w:val="00874B7D"/>
    <w:rsid w:val="00882E0C"/>
    <w:rsid w:val="00883BFF"/>
    <w:rsid w:val="00890BDB"/>
    <w:rsid w:val="00895DBA"/>
    <w:rsid w:val="008B1DAD"/>
    <w:rsid w:val="008B3359"/>
    <w:rsid w:val="008C4565"/>
    <w:rsid w:val="008D34E2"/>
    <w:rsid w:val="008D4EEF"/>
    <w:rsid w:val="008D54C9"/>
    <w:rsid w:val="008D56BB"/>
    <w:rsid w:val="008E0120"/>
    <w:rsid w:val="008E1E68"/>
    <w:rsid w:val="008E5A99"/>
    <w:rsid w:val="008F22DE"/>
    <w:rsid w:val="008F2566"/>
    <w:rsid w:val="008F42A3"/>
    <w:rsid w:val="0090032B"/>
    <w:rsid w:val="009041A0"/>
    <w:rsid w:val="00915492"/>
    <w:rsid w:val="00934C1F"/>
    <w:rsid w:val="009417A0"/>
    <w:rsid w:val="009427A1"/>
    <w:rsid w:val="00950024"/>
    <w:rsid w:val="0096433D"/>
    <w:rsid w:val="00967BCA"/>
    <w:rsid w:val="00967E40"/>
    <w:rsid w:val="00980EC1"/>
    <w:rsid w:val="00982DA1"/>
    <w:rsid w:val="00986B1A"/>
    <w:rsid w:val="009874B7"/>
    <w:rsid w:val="00991454"/>
    <w:rsid w:val="00991EDB"/>
    <w:rsid w:val="00995836"/>
    <w:rsid w:val="009A0B0E"/>
    <w:rsid w:val="009A3067"/>
    <w:rsid w:val="009A4991"/>
    <w:rsid w:val="009B1BF4"/>
    <w:rsid w:val="009B623B"/>
    <w:rsid w:val="009B6EF4"/>
    <w:rsid w:val="009C5CEB"/>
    <w:rsid w:val="009C700D"/>
    <w:rsid w:val="009D7392"/>
    <w:rsid w:val="009F10F4"/>
    <w:rsid w:val="009F5DF0"/>
    <w:rsid w:val="00A0049C"/>
    <w:rsid w:val="00A02C56"/>
    <w:rsid w:val="00A05F18"/>
    <w:rsid w:val="00A16E5C"/>
    <w:rsid w:val="00A178B9"/>
    <w:rsid w:val="00A3054F"/>
    <w:rsid w:val="00A3065B"/>
    <w:rsid w:val="00A418DE"/>
    <w:rsid w:val="00A44259"/>
    <w:rsid w:val="00A45B98"/>
    <w:rsid w:val="00A51D75"/>
    <w:rsid w:val="00A52FF5"/>
    <w:rsid w:val="00A57FC1"/>
    <w:rsid w:val="00A628FB"/>
    <w:rsid w:val="00A63E3F"/>
    <w:rsid w:val="00A64B8B"/>
    <w:rsid w:val="00A66CA3"/>
    <w:rsid w:val="00A6718C"/>
    <w:rsid w:val="00A67AA2"/>
    <w:rsid w:val="00A716DF"/>
    <w:rsid w:val="00A71B6F"/>
    <w:rsid w:val="00A83C91"/>
    <w:rsid w:val="00A878C3"/>
    <w:rsid w:val="00A87DBF"/>
    <w:rsid w:val="00A9095A"/>
    <w:rsid w:val="00A90D4C"/>
    <w:rsid w:val="00A92AD8"/>
    <w:rsid w:val="00A93658"/>
    <w:rsid w:val="00A944E5"/>
    <w:rsid w:val="00AA243D"/>
    <w:rsid w:val="00AA6E3D"/>
    <w:rsid w:val="00AA7246"/>
    <w:rsid w:val="00AA7D37"/>
    <w:rsid w:val="00AB130C"/>
    <w:rsid w:val="00AB2E30"/>
    <w:rsid w:val="00AB43B2"/>
    <w:rsid w:val="00AB65A5"/>
    <w:rsid w:val="00AB6E0B"/>
    <w:rsid w:val="00AB75B1"/>
    <w:rsid w:val="00AC1B42"/>
    <w:rsid w:val="00AC4F2D"/>
    <w:rsid w:val="00AD09A9"/>
    <w:rsid w:val="00AD1C44"/>
    <w:rsid w:val="00AD2E07"/>
    <w:rsid w:val="00AE12D7"/>
    <w:rsid w:val="00AE1BA5"/>
    <w:rsid w:val="00AF07CA"/>
    <w:rsid w:val="00AF3CEB"/>
    <w:rsid w:val="00AF4AE0"/>
    <w:rsid w:val="00AF4D2C"/>
    <w:rsid w:val="00B00917"/>
    <w:rsid w:val="00B01236"/>
    <w:rsid w:val="00B0365E"/>
    <w:rsid w:val="00B039C2"/>
    <w:rsid w:val="00B04048"/>
    <w:rsid w:val="00B16327"/>
    <w:rsid w:val="00B17A47"/>
    <w:rsid w:val="00B2063C"/>
    <w:rsid w:val="00B217DF"/>
    <w:rsid w:val="00B2796B"/>
    <w:rsid w:val="00B313CF"/>
    <w:rsid w:val="00B3298E"/>
    <w:rsid w:val="00B5126F"/>
    <w:rsid w:val="00B52208"/>
    <w:rsid w:val="00B5375B"/>
    <w:rsid w:val="00B638C2"/>
    <w:rsid w:val="00B649E9"/>
    <w:rsid w:val="00B66614"/>
    <w:rsid w:val="00B71121"/>
    <w:rsid w:val="00B716A6"/>
    <w:rsid w:val="00B7480A"/>
    <w:rsid w:val="00B74821"/>
    <w:rsid w:val="00B75641"/>
    <w:rsid w:val="00B805C3"/>
    <w:rsid w:val="00B865BA"/>
    <w:rsid w:val="00B87CFA"/>
    <w:rsid w:val="00B9015D"/>
    <w:rsid w:val="00B960EE"/>
    <w:rsid w:val="00B9689F"/>
    <w:rsid w:val="00B97D5D"/>
    <w:rsid w:val="00BA0FDF"/>
    <w:rsid w:val="00BA151F"/>
    <w:rsid w:val="00BA7EB9"/>
    <w:rsid w:val="00BB01F5"/>
    <w:rsid w:val="00BB6031"/>
    <w:rsid w:val="00BB7B9A"/>
    <w:rsid w:val="00BD2D0E"/>
    <w:rsid w:val="00BD3781"/>
    <w:rsid w:val="00BD5EB3"/>
    <w:rsid w:val="00BE077D"/>
    <w:rsid w:val="00BE505F"/>
    <w:rsid w:val="00C03711"/>
    <w:rsid w:val="00C10816"/>
    <w:rsid w:val="00C1200D"/>
    <w:rsid w:val="00C12861"/>
    <w:rsid w:val="00C128CC"/>
    <w:rsid w:val="00C13E0C"/>
    <w:rsid w:val="00C177EC"/>
    <w:rsid w:val="00C22142"/>
    <w:rsid w:val="00C30E80"/>
    <w:rsid w:val="00C36E35"/>
    <w:rsid w:val="00C40ABB"/>
    <w:rsid w:val="00C42CD8"/>
    <w:rsid w:val="00C52DC8"/>
    <w:rsid w:val="00C56953"/>
    <w:rsid w:val="00C605A4"/>
    <w:rsid w:val="00C62366"/>
    <w:rsid w:val="00C70A31"/>
    <w:rsid w:val="00C77A68"/>
    <w:rsid w:val="00C9590A"/>
    <w:rsid w:val="00C978CF"/>
    <w:rsid w:val="00CA1AA5"/>
    <w:rsid w:val="00CB1343"/>
    <w:rsid w:val="00CB2603"/>
    <w:rsid w:val="00CB555E"/>
    <w:rsid w:val="00CB6BF4"/>
    <w:rsid w:val="00CC0289"/>
    <w:rsid w:val="00CD1188"/>
    <w:rsid w:val="00CD75F3"/>
    <w:rsid w:val="00CE0863"/>
    <w:rsid w:val="00CE4AA4"/>
    <w:rsid w:val="00D028C1"/>
    <w:rsid w:val="00D04589"/>
    <w:rsid w:val="00D0584A"/>
    <w:rsid w:val="00D060E2"/>
    <w:rsid w:val="00D10010"/>
    <w:rsid w:val="00D17298"/>
    <w:rsid w:val="00D247A9"/>
    <w:rsid w:val="00D332F4"/>
    <w:rsid w:val="00D354FE"/>
    <w:rsid w:val="00D5440F"/>
    <w:rsid w:val="00D747BB"/>
    <w:rsid w:val="00D7496C"/>
    <w:rsid w:val="00D77513"/>
    <w:rsid w:val="00D832C0"/>
    <w:rsid w:val="00D8546F"/>
    <w:rsid w:val="00D87796"/>
    <w:rsid w:val="00D9614F"/>
    <w:rsid w:val="00DA1D32"/>
    <w:rsid w:val="00DA1E22"/>
    <w:rsid w:val="00DB4068"/>
    <w:rsid w:val="00DB5E8E"/>
    <w:rsid w:val="00DC70BE"/>
    <w:rsid w:val="00DD0680"/>
    <w:rsid w:val="00DD0F0D"/>
    <w:rsid w:val="00DD15B8"/>
    <w:rsid w:val="00DD2CD7"/>
    <w:rsid w:val="00DD6746"/>
    <w:rsid w:val="00DD6A98"/>
    <w:rsid w:val="00DD6DC7"/>
    <w:rsid w:val="00DD6F74"/>
    <w:rsid w:val="00DE0F44"/>
    <w:rsid w:val="00DE3153"/>
    <w:rsid w:val="00DF1252"/>
    <w:rsid w:val="00E038C8"/>
    <w:rsid w:val="00E0681C"/>
    <w:rsid w:val="00E076BF"/>
    <w:rsid w:val="00E11991"/>
    <w:rsid w:val="00E14251"/>
    <w:rsid w:val="00E20C39"/>
    <w:rsid w:val="00E24003"/>
    <w:rsid w:val="00E24EF1"/>
    <w:rsid w:val="00E27528"/>
    <w:rsid w:val="00E35660"/>
    <w:rsid w:val="00E3757C"/>
    <w:rsid w:val="00E42D79"/>
    <w:rsid w:val="00E44E54"/>
    <w:rsid w:val="00E466C2"/>
    <w:rsid w:val="00E545E5"/>
    <w:rsid w:val="00E60E6A"/>
    <w:rsid w:val="00E62E46"/>
    <w:rsid w:val="00E630EA"/>
    <w:rsid w:val="00E672D2"/>
    <w:rsid w:val="00E7117A"/>
    <w:rsid w:val="00E744CB"/>
    <w:rsid w:val="00E75A9A"/>
    <w:rsid w:val="00E80B12"/>
    <w:rsid w:val="00E85683"/>
    <w:rsid w:val="00E86B40"/>
    <w:rsid w:val="00E86E4B"/>
    <w:rsid w:val="00E8725F"/>
    <w:rsid w:val="00EA1AE9"/>
    <w:rsid w:val="00EA49CC"/>
    <w:rsid w:val="00EB1E90"/>
    <w:rsid w:val="00EB2120"/>
    <w:rsid w:val="00EB5193"/>
    <w:rsid w:val="00EB683E"/>
    <w:rsid w:val="00EB6869"/>
    <w:rsid w:val="00EB6F73"/>
    <w:rsid w:val="00EC6FFA"/>
    <w:rsid w:val="00EE14B1"/>
    <w:rsid w:val="00EE69A1"/>
    <w:rsid w:val="00EF2088"/>
    <w:rsid w:val="00F0014E"/>
    <w:rsid w:val="00F005E1"/>
    <w:rsid w:val="00F10B5B"/>
    <w:rsid w:val="00F10E70"/>
    <w:rsid w:val="00F117E3"/>
    <w:rsid w:val="00F174D6"/>
    <w:rsid w:val="00F24289"/>
    <w:rsid w:val="00F24778"/>
    <w:rsid w:val="00F24F1C"/>
    <w:rsid w:val="00F3090E"/>
    <w:rsid w:val="00F31A82"/>
    <w:rsid w:val="00F340C8"/>
    <w:rsid w:val="00F425E3"/>
    <w:rsid w:val="00F479C0"/>
    <w:rsid w:val="00F500EC"/>
    <w:rsid w:val="00F54974"/>
    <w:rsid w:val="00F62128"/>
    <w:rsid w:val="00F66780"/>
    <w:rsid w:val="00F70195"/>
    <w:rsid w:val="00F74800"/>
    <w:rsid w:val="00F8263F"/>
    <w:rsid w:val="00F92C05"/>
    <w:rsid w:val="00FA24A8"/>
    <w:rsid w:val="00FA7319"/>
    <w:rsid w:val="00FB36B1"/>
    <w:rsid w:val="00FB6C4E"/>
    <w:rsid w:val="00FC1BAB"/>
    <w:rsid w:val="00FC27AC"/>
    <w:rsid w:val="00FD15EE"/>
    <w:rsid w:val="00FD1977"/>
    <w:rsid w:val="00FD62C8"/>
    <w:rsid w:val="00FE4F17"/>
    <w:rsid w:val="00FE590C"/>
    <w:rsid w:val="00FE5F9F"/>
    <w:rsid w:val="00FF0E9D"/>
    <w:rsid w:val="00FF1534"/>
    <w:rsid w:val="163947AE"/>
    <w:rsid w:val="3F80609A"/>
    <w:rsid w:val="59552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48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7"/>
    <w:qFormat/>
    <w:uiPriority w:val="9"/>
    <w:pPr>
      <w:keepNext/>
      <w:keepLines/>
      <w:numPr>
        <w:ilvl w:val="0"/>
        <w:numId w:val="1"/>
      </w:numPr>
      <w:spacing w:before="60" w:after="60" w:line="578" w:lineRule="auto"/>
      <w:ind w:firstLineChars="0"/>
      <w:outlineLvl w:val="0"/>
    </w:pPr>
    <w:rPr>
      <w:b/>
      <w:bCs/>
      <w:kern w:val="44"/>
      <w:sz w:val="28"/>
      <w:szCs w:val="44"/>
    </w:rPr>
  </w:style>
  <w:style w:type="paragraph" w:styleId="3">
    <w:name w:val="heading 2"/>
    <w:basedOn w:val="1"/>
    <w:next w:val="1"/>
    <w:link w:val="28"/>
    <w:unhideWhenUsed/>
    <w:qFormat/>
    <w:uiPriority w:val="9"/>
    <w:pPr>
      <w:keepNext/>
      <w:keepLines/>
      <w:numPr>
        <w:ilvl w:val="1"/>
        <w:numId w:val="1"/>
      </w:numPr>
      <w:spacing w:before="20" w:after="20" w:line="415" w:lineRule="auto"/>
      <w:ind w:firstLineChars="0"/>
      <w:outlineLvl w:val="1"/>
    </w:pPr>
    <w:rPr>
      <w:rFonts w:asciiTheme="majorHAnsi" w:hAnsiTheme="majorHAnsi" w:eastAsiaTheme="majorEastAsia" w:cstheme="majorBidi"/>
      <w:b/>
      <w:bCs/>
      <w:szCs w:val="32"/>
    </w:rPr>
  </w:style>
  <w:style w:type="paragraph" w:styleId="4">
    <w:name w:val="heading 3"/>
    <w:basedOn w:val="1"/>
    <w:next w:val="1"/>
    <w:link w:val="29"/>
    <w:unhideWhenUsed/>
    <w:qFormat/>
    <w:uiPriority w:val="9"/>
    <w:pPr>
      <w:keepNext/>
      <w:keepLines/>
      <w:numPr>
        <w:ilvl w:val="2"/>
        <w:numId w:val="1"/>
      </w:numPr>
      <w:spacing w:beforeLines="50" w:afterLines="50"/>
      <w:ind w:right="240" w:rightChars="100" w:firstLineChars="0"/>
      <w:jc w:val="left"/>
      <w:outlineLvl w:val="2"/>
    </w:pPr>
    <w:rPr>
      <w:b/>
      <w:bCs/>
      <w:szCs w:val="32"/>
    </w:rPr>
  </w:style>
  <w:style w:type="paragraph" w:styleId="5">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sz w:val="18"/>
      <w:szCs w:val="18"/>
    </w:rPr>
  </w:style>
  <w:style w:type="paragraph" w:styleId="7">
    <w:name w:val="Document Map"/>
    <w:basedOn w:val="1"/>
    <w:link w:val="35"/>
    <w:unhideWhenUsed/>
    <w:qFormat/>
    <w:uiPriority w:val="99"/>
    <w:rPr>
      <w:rFonts w:ascii="宋体" w:eastAsia="宋体"/>
      <w:sz w:val="18"/>
      <w:szCs w:val="18"/>
    </w:rPr>
  </w:style>
  <w:style w:type="paragraph" w:styleId="8">
    <w:name w:val="Body Text"/>
    <w:basedOn w:val="1"/>
    <w:link w:val="37"/>
    <w:qFormat/>
    <w:uiPriority w:val="1"/>
    <w:pPr>
      <w:adjustRightInd/>
      <w:spacing w:before="45" w:line="240" w:lineRule="auto"/>
      <w:ind w:left="117" w:firstLine="0" w:firstLineChars="0"/>
      <w:jc w:val="left"/>
    </w:pPr>
    <w:rPr>
      <w:rFonts w:ascii="宋体" w:hAnsi="宋体" w:eastAsia="宋体" w:cs="Times New Roman"/>
      <w:kern w:val="0"/>
      <w:sz w:val="28"/>
      <w:szCs w:val="28"/>
      <w:lang w:eastAsia="en-US"/>
    </w:rPr>
  </w:style>
  <w:style w:type="paragraph" w:styleId="9">
    <w:name w:val="toc 5"/>
    <w:basedOn w:val="1"/>
    <w:next w:val="1"/>
    <w:unhideWhenUsed/>
    <w:qFormat/>
    <w:uiPriority w:val="39"/>
    <w:pPr>
      <w:ind w:left="960"/>
      <w:jc w:val="left"/>
    </w:pPr>
    <w:rPr>
      <w:sz w:val="18"/>
      <w:szCs w:val="18"/>
    </w:rPr>
  </w:style>
  <w:style w:type="paragraph" w:styleId="10">
    <w:name w:val="toc 3"/>
    <w:basedOn w:val="1"/>
    <w:next w:val="1"/>
    <w:unhideWhenUsed/>
    <w:qFormat/>
    <w:uiPriority w:val="39"/>
    <w:pPr>
      <w:ind w:left="480"/>
      <w:jc w:val="left"/>
    </w:pPr>
    <w:rPr>
      <w:i/>
      <w:iCs/>
      <w:sz w:val="20"/>
      <w:szCs w:val="20"/>
    </w:rPr>
  </w:style>
  <w:style w:type="paragraph" w:styleId="11">
    <w:name w:val="toc 8"/>
    <w:basedOn w:val="1"/>
    <w:next w:val="1"/>
    <w:unhideWhenUsed/>
    <w:qFormat/>
    <w:uiPriority w:val="39"/>
    <w:pPr>
      <w:ind w:left="1680"/>
      <w:jc w:val="left"/>
    </w:pPr>
    <w:rPr>
      <w:sz w:val="18"/>
      <w:szCs w:val="18"/>
    </w:rPr>
  </w:style>
  <w:style w:type="paragraph" w:styleId="12">
    <w:name w:val="Balloon Text"/>
    <w:basedOn w:val="1"/>
    <w:link w:val="36"/>
    <w:unhideWhenUsed/>
    <w:qFormat/>
    <w:uiPriority w:val="99"/>
    <w:pPr>
      <w:spacing w:line="240" w:lineRule="auto"/>
    </w:pPr>
    <w:rPr>
      <w:sz w:val="18"/>
      <w:szCs w:val="18"/>
    </w:rPr>
  </w:style>
  <w:style w:type="paragraph" w:styleId="13">
    <w:name w:val="footer"/>
    <w:basedOn w:val="1"/>
    <w:link w:val="31"/>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pPr>
      <w:tabs>
        <w:tab w:val="right" w:leader="dot" w:pos="8296"/>
      </w:tabs>
      <w:spacing w:before="120" w:after="120"/>
      <w:ind w:firstLine="424" w:firstLineChars="176"/>
      <w:jc w:val="left"/>
    </w:pPr>
    <w:rPr>
      <w:b/>
      <w:bCs/>
      <w:caps/>
      <w:sz w:val="20"/>
      <w:szCs w:val="20"/>
    </w:rPr>
  </w:style>
  <w:style w:type="paragraph" w:styleId="16">
    <w:name w:val="toc 4"/>
    <w:basedOn w:val="1"/>
    <w:next w:val="1"/>
    <w:unhideWhenUsed/>
    <w:qFormat/>
    <w:uiPriority w:val="39"/>
    <w:pPr>
      <w:ind w:left="720"/>
      <w:jc w:val="left"/>
    </w:pPr>
    <w:rPr>
      <w:sz w:val="18"/>
      <w:szCs w:val="18"/>
    </w:rPr>
  </w:style>
  <w:style w:type="paragraph" w:styleId="17">
    <w:name w:val="toc 6"/>
    <w:basedOn w:val="1"/>
    <w:next w:val="1"/>
    <w:unhideWhenUsed/>
    <w:qFormat/>
    <w:uiPriority w:val="39"/>
    <w:pPr>
      <w:ind w:left="1200"/>
      <w:jc w:val="left"/>
    </w:pPr>
    <w:rPr>
      <w:sz w:val="18"/>
      <w:szCs w:val="18"/>
    </w:rPr>
  </w:style>
  <w:style w:type="paragraph" w:styleId="18">
    <w:name w:val="toc 2"/>
    <w:basedOn w:val="1"/>
    <w:next w:val="1"/>
    <w:unhideWhenUsed/>
    <w:qFormat/>
    <w:uiPriority w:val="39"/>
    <w:pPr>
      <w:ind w:left="240"/>
      <w:jc w:val="left"/>
    </w:pPr>
    <w:rPr>
      <w:smallCaps/>
      <w:sz w:val="20"/>
      <w:szCs w:val="20"/>
    </w:rPr>
  </w:style>
  <w:style w:type="paragraph" w:styleId="19">
    <w:name w:val="toc 9"/>
    <w:basedOn w:val="1"/>
    <w:next w:val="1"/>
    <w:unhideWhenUsed/>
    <w:qFormat/>
    <w:uiPriority w:val="39"/>
    <w:pPr>
      <w:ind w:left="1920"/>
      <w:jc w:val="left"/>
    </w:pPr>
    <w:rPr>
      <w:sz w:val="18"/>
      <w:szCs w:val="18"/>
    </w:rPr>
  </w:style>
  <w:style w:type="paragraph" w:styleId="20">
    <w:name w:val="Normal (Web)"/>
    <w:basedOn w:val="1"/>
    <w:unhideWhenUsed/>
    <w:qFormat/>
    <w:uiPriority w:val="99"/>
    <w:pPr>
      <w:widowControl/>
      <w:adjustRightInd/>
      <w:spacing w:before="100" w:beforeAutospacing="1" w:after="100" w:afterAutospacing="1" w:line="240" w:lineRule="auto"/>
      <w:ind w:firstLine="0" w:firstLineChars="0"/>
      <w:jc w:val="left"/>
    </w:pPr>
    <w:rPr>
      <w:rFonts w:ascii="宋体" w:hAnsi="宋体" w:eastAsia="宋体" w:cs="宋体"/>
      <w:kern w:val="0"/>
      <w:szCs w:val="24"/>
    </w:rPr>
  </w:style>
  <w:style w:type="paragraph" w:styleId="21">
    <w:name w:val="Title"/>
    <w:basedOn w:val="1"/>
    <w:next w:val="1"/>
    <w:link w:val="33"/>
    <w:qFormat/>
    <w:uiPriority w:val="10"/>
    <w:pPr>
      <w:spacing w:before="240" w:after="60"/>
      <w:jc w:val="center"/>
      <w:outlineLvl w:val="0"/>
    </w:pPr>
    <w:rPr>
      <w:rFonts w:eastAsia="宋体" w:asciiTheme="majorHAnsi" w:hAnsiTheme="majorHAnsi" w:cstheme="majorBidi"/>
      <w:b/>
      <w:bCs/>
      <w:sz w:val="32"/>
      <w:szCs w:val="32"/>
    </w:rPr>
  </w:style>
  <w:style w:type="table" w:styleId="23">
    <w:name w:val="Table Grid"/>
    <w:basedOn w:val="22"/>
    <w:qFormat/>
    <w:uiPriority w:val="39"/>
    <w:pPr>
      <w:widowControl w:val="0"/>
      <w:spacing w:line="24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line number"/>
    <w:basedOn w:val="24"/>
    <w:unhideWhenUsed/>
    <w:qFormat/>
    <w:uiPriority w:val="99"/>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customStyle="1" w:styleId="27">
    <w:name w:val="标题 1 Char"/>
    <w:basedOn w:val="24"/>
    <w:link w:val="2"/>
    <w:qFormat/>
    <w:uiPriority w:val="9"/>
    <w:rPr>
      <w:b/>
      <w:bCs/>
      <w:kern w:val="44"/>
      <w:sz w:val="28"/>
      <w:szCs w:val="44"/>
    </w:rPr>
  </w:style>
  <w:style w:type="character" w:customStyle="1" w:styleId="28">
    <w:name w:val="标题 2 Char"/>
    <w:basedOn w:val="24"/>
    <w:link w:val="3"/>
    <w:qFormat/>
    <w:uiPriority w:val="9"/>
    <w:rPr>
      <w:rFonts w:asciiTheme="majorHAnsi" w:hAnsiTheme="majorHAnsi" w:eastAsiaTheme="majorEastAsia" w:cstheme="majorBidi"/>
      <w:b/>
      <w:bCs/>
      <w:sz w:val="24"/>
      <w:szCs w:val="32"/>
    </w:rPr>
  </w:style>
  <w:style w:type="character" w:customStyle="1" w:styleId="29">
    <w:name w:val="标题 3 Char"/>
    <w:basedOn w:val="24"/>
    <w:link w:val="4"/>
    <w:qFormat/>
    <w:uiPriority w:val="9"/>
    <w:rPr>
      <w:b/>
      <w:bCs/>
      <w:sz w:val="24"/>
      <w:szCs w:val="32"/>
    </w:rPr>
  </w:style>
  <w:style w:type="character" w:customStyle="1" w:styleId="30">
    <w:name w:val="页眉 Char"/>
    <w:basedOn w:val="24"/>
    <w:link w:val="14"/>
    <w:qFormat/>
    <w:uiPriority w:val="99"/>
    <w:rPr>
      <w:sz w:val="18"/>
      <w:szCs w:val="18"/>
    </w:rPr>
  </w:style>
  <w:style w:type="character" w:customStyle="1" w:styleId="31">
    <w:name w:val="页脚 Char"/>
    <w:basedOn w:val="24"/>
    <w:link w:val="13"/>
    <w:qFormat/>
    <w:uiPriority w:val="99"/>
    <w:rPr>
      <w:sz w:val="18"/>
      <w:szCs w:val="18"/>
    </w:rPr>
  </w:style>
  <w:style w:type="paragraph" w:customStyle="1" w:styleId="32">
    <w:name w:val="No Spacing"/>
    <w:qFormat/>
    <w:uiPriority w:val="1"/>
    <w:pPr>
      <w:widowControl w:val="0"/>
      <w:spacing w:line="240" w:lineRule="auto"/>
      <w:ind w:left="425" w:hanging="425"/>
      <w:jc w:val="both"/>
    </w:pPr>
    <w:rPr>
      <w:rFonts w:asciiTheme="minorHAnsi" w:hAnsiTheme="minorHAnsi" w:eastAsiaTheme="minorEastAsia" w:cstheme="minorBidi"/>
      <w:kern w:val="2"/>
      <w:sz w:val="24"/>
      <w:szCs w:val="22"/>
      <w:lang w:val="en-US" w:eastAsia="zh-CN" w:bidi="ar-SA"/>
    </w:rPr>
  </w:style>
  <w:style w:type="character" w:customStyle="1" w:styleId="33">
    <w:name w:val="标题 Char"/>
    <w:basedOn w:val="24"/>
    <w:link w:val="21"/>
    <w:qFormat/>
    <w:uiPriority w:val="10"/>
    <w:rPr>
      <w:rFonts w:eastAsia="宋体" w:asciiTheme="majorHAnsi" w:hAnsiTheme="majorHAnsi" w:cstheme="majorBidi"/>
      <w:b/>
      <w:bCs/>
      <w:sz w:val="32"/>
      <w:szCs w:val="32"/>
    </w:rPr>
  </w:style>
  <w:style w:type="paragraph" w:customStyle="1" w:styleId="34">
    <w:name w:val="List Paragraph"/>
    <w:basedOn w:val="1"/>
    <w:qFormat/>
    <w:uiPriority w:val="34"/>
    <w:pPr>
      <w:ind w:firstLine="420"/>
    </w:pPr>
  </w:style>
  <w:style w:type="character" w:customStyle="1" w:styleId="35">
    <w:name w:val="文档结构图 Char"/>
    <w:basedOn w:val="24"/>
    <w:link w:val="7"/>
    <w:semiHidden/>
    <w:qFormat/>
    <w:uiPriority w:val="99"/>
    <w:rPr>
      <w:rFonts w:ascii="宋体" w:eastAsia="宋体"/>
      <w:sz w:val="18"/>
      <w:szCs w:val="18"/>
    </w:rPr>
  </w:style>
  <w:style w:type="character" w:customStyle="1" w:styleId="36">
    <w:name w:val="批注框文本 Char"/>
    <w:basedOn w:val="24"/>
    <w:link w:val="12"/>
    <w:semiHidden/>
    <w:qFormat/>
    <w:uiPriority w:val="99"/>
    <w:rPr>
      <w:sz w:val="18"/>
      <w:szCs w:val="18"/>
    </w:rPr>
  </w:style>
  <w:style w:type="character" w:customStyle="1" w:styleId="37">
    <w:name w:val="正文文本 Char"/>
    <w:basedOn w:val="24"/>
    <w:link w:val="8"/>
    <w:qFormat/>
    <w:uiPriority w:val="1"/>
    <w:rPr>
      <w:rFonts w:ascii="宋体" w:hAnsi="宋体" w:eastAsia="宋体" w:cs="Times New Roman"/>
      <w:kern w:val="0"/>
      <w:sz w:val="28"/>
      <w:szCs w:val="28"/>
      <w:lang w:eastAsia="en-US"/>
    </w:rPr>
  </w:style>
  <w:style w:type="paragraph" w:customStyle="1" w:styleId="38">
    <w:name w:val="TOC Heading"/>
    <w:basedOn w:val="2"/>
    <w:next w:val="1"/>
    <w:unhideWhenUsed/>
    <w:qFormat/>
    <w:uiPriority w:val="39"/>
    <w:pPr>
      <w:widowControl/>
      <w:numPr>
        <w:numId w:val="0"/>
      </w:numPr>
      <w:adjustRightInd/>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39">
    <w:name w:val="标题 4 Char"/>
    <w:basedOn w:val="24"/>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08DAC-5444-4BC4-AE43-0A78FCD466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660</Words>
  <Characters>3763</Characters>
  <Lines>31</Lines>
  <Paragraphs>8</Paragraphs>
  <TotalTime>6</TotalTime>
  <ScaleCrop>false</ScaleCrop>
  <LinksUpToDate>false</LinksUpToDate>
  <CharactersWithSpaces>4415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2018-03-14T12:37:00Z</dcterms:created>
  <dc:creator>Administrator</dc:creator>
  <cp:lastModifiedBy>谢雯珊</cp:lastModifiedBy>
  <cp:lastPrinted>2018-02-09T02:30:00Z</cp:lastPrinted>
  <dcterms:modified xsi:type="dcterms:W3CDTF">2021-08-03T08:12:09Z</dcterms:modified>
  <dc:title>《河源市中心城区商业网点（2017-2025年）》公示稿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