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21"/>
          <w:szCs w:val="21"/>
        </w:rPr>
      </w:pPr>
    </w:p>
    <w:p>
      <w:pPr>
        <w:wordWrap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河环</w:t>
      </w:r>
      <w:r>
        <w:rPr>
          <w:rFonts w:hint="eastAsia" w:ascii="仿宋_GB2312" w:eastAsia="仿宋_GB2312"/>
          <w:sz w:val="32"/>
          <w:szCs w:val="32"/>
          <w:lang w:eastAsia="zh-CN"/>
        </w:rPr>
        <w:t>建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河源市东瑞肉类食品有限公司生猪屠宰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及肉制品加工基地建设项目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影响报告书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的批复</w:t>
      </w:r>
    </w:p>
    <w:bookmarkEnd w:id="0"/>
    <w:p>
      <w:pPr>
        <w:rPr>
          <w:rFonts w:hint="eastAsia" w:ascii="仿宋_GB2312" w:hAnsi="仿宋_GB2312"/>
          <w:sz w:val="32"/>
          <w:szCs w:val="32"/>
        </w:rPr>
      </w:pPr>
    </w:p>
    <w:p>
      <w:pPr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河源市东瑞肉类食品有限公司</w:t>
      </w:r>
      <w:r>
        <w:rPr>
          <w:rFonts w:hint="eastAsia" w:ascii="仿宋_GB2312" w:hAnsi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你公司报批的《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河源市东瑞肉类食品有限公司生猪屠宰及肉制品加工基地建设项目</w:t>
      </w:r>
      <w:r>
        <w:rPr>
          <w:rFonts w:hint="eastAsia" w:ascii="仿宋_GB2312" w:hAnsi="仿宋_GB2312"/>
          <w:sz w:val="32"/>
          <w:szCs w:val="32"/>
        </w:rPr>
        <w:t>环境影响报告书》及报</w:t>
      </w:r>
      <w:r>
        <w:rPr>
          <w:rFonts w:hint="eastAsia" w:ascii="仿宋_GB2312" w:hAnsi="华文仿宋"/>
          <w:sz w:val="32"/>
          <w:szCs w:val="32"/>
        </w:rPr>
        <w:t>批函等材料收悉。经研究，批复如下：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一、原则同意河源市生态环境局</w:t>
      </w:r>
      <w:r>
        <w:rPr>
          <w:rFonts w:hint="eastAsia" w:ascii="仿宋_GB2312" w:hAnsi="华文仿宋"/>
          <w:sz w:val="32"/>
          <w:szCs w:val="32"/>
          <w:lang w:val="en-US" w:eastAsia="zh-CN"/>
        </w:rPr>
        <w:t>东源</w:t>
      </w:r>
      <w:r>
        <w:rPr>
          <w:rFonts w:hint="eastAsia" w:ascii="仿宋_GB2312" w:hAnsi="华文仿宋"/>
          <w:sz w:val="32"/>
          <w:szCs w:val="32"/>
        </w:rPr>
        <w:t>分局的初审意见。</w:t>
      </w:r>
    </w:p>
    <w:p>
      <w:pPr>
        <w:spacing w:line="240" w:lineRule="auto"/>
        <w:ind w:firstLine="645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二、你公司拟在河源市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东源县灯塔镇黄土岭村</w:t>
      </w:r>
      <w:r>
        <w:rPr>
          <w:rFonts w:hint="eastAsia" w:ascii="仿宋_GB2312" w:hAnsi="华文仿宋"/>
          <w:sz w:val="32"/>
          <w:szCs w:val="32"/>
        </w:rPr>
        <w:t>建设</w:t>
      </w:r>
      <w:r>
        <w:rPr>
          <w:rFonts w:hint="eastAsia" w:ascii="仿宋_GB2312" w:hAnsi="仿宋_GB2312"/>
          <w:sz w:val="32"/>
          <w:szCs w:val="32"/>
          <w:lang w:val="en-US" w:eastAsia="zh-CN"/>
        </w:rPr>
        <w:t>生猪屠宰及肉制品加工基地建设项目</w:t>
      </w:r>
      <w:r>
        <w:rPr>
          <w:rFonts w:hint="eastAsia" w:ascii="仿宋_GB2312" w:hAnsi="华文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项目总投资20000万元，占地面积139668平方米，建筑面积108634.07平方米，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主要构筑物为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待宰间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检疫间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屠宰综合加工车间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锅炉房、腊肠肉制品车间、深加工车间、办公楼、综合大楼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污水处理站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年屠宰量100万头生猪，其中生产白条肉和分割肉需屠宰生猪92万头/年、生产肉制品需屠宰生猪8万头/年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项目分三期建设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其中一期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年屠宰生猪50万头，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全部用于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生产白条肉和分割肉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二期年屠宰生猪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0万头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4万头/年生猪用于生产肉制品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其余用于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生产白条肉和分割肉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三期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4万头/年生猪用于生产肉制品</w:t>
      </w:r>
      <w:r>
        <w:rPr>
          <w:rFonts w:hint="eastAsia" w:ascii="仿宋_GB2312" w:hAnsi="华文仿宋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根据报告书评价结论、市环境技术中心评估意见、市生态环境局</w:t>
      </w:r>
      <w:r>
        <w:rPr>
          <w:rFonts w:hint="eastAsia" w:ascii="仿宋_GB2312" w:hAnsi="华文仿宋"/>
          <w:sz w:val="32"/>
          <w:szCs w:val="32"/>
          <w:lang w:val="en-US" w:eastAsia="zh-CN"/>
        </w:rPr>
        <w:t>东源</w:t>
      </w:r>
      <w:r>
        <w:rPr>
          <w:rFonts w:hint="eastAsia" w:ascii="仿宋_GB2312" w:hAnsi="华文仿宋"/>
          <w:sz w:val="32"/>
          <w:szCs w:val="32"/>
        </w:rPr>
        <w:t>分局初审意见</w:t>
      </w:r>
      <w:r>
        <w:rPr>
          <w:rFonts w:hint="eastAsia" w:ascii="仿宋_GB2312" w:cs="FangSong_GB2312-Identity-H"/>
          <w:kern w:val="0"/>
          <w:sz w:val="32"/>
          <w:szCs w:val="32"/>
        </w:rPr>
        <w:t>，在全面落实报告书提出的各项污染防治和环境风险防范措施，确保污染物排放稳定达标且符合总量控制要求的前提下，项目按照报告书中所列性质、规模、地点和拟采取的环境保护措施进行建设，从环境保护角度可行。</w:t>
      </w:r>
    </w:p>
    <w:p>
      <w:pPr>
        <w:spacing w:line="24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三、项目建设及运营中应重点做好以下工作：</w:t>
      </w:r>
    </w:p>
    <w:p>
      <w:pPr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cs="FangSong_GB2312-Identity-H"/>
          <w:kern w:val="0"/>
          <w:sz w:val="32"/>
          <w:szCs w:val="32"/>
        </w:rPr>
        <w:t>（一）做好水污染防治工作。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按照“清污分流、雨污分流”的原则设置厂区雨水排水系统和废水收集处理系统。项目生活污水及生产废水统一收集后经厂区污水站处理，部分出水经过“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GB"/>
        </w:rPr>
        <w:t>MBR+消毒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”深度处理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GB"/>
        </w:rPr>
        <w:t>《城市污水再生利用 城市杂用水水质》(GB/T 18920-2020)</w:t>
      </w:r>
      <w:r>
        <w:rPr>
          <w:rFonts w:hint="eastAsia" w:ascii="仿宋_GB2312" w:hAnsi="仿宋_GB2312" w:cs="仿宋_GB2312"/>
          <w:sz w:val="32"/>
          <w:szCs w:val="32"/>
          <w:u w:val="none"/>
          <w:lang w:val="en-GB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标准后，回用于待宰间、屠宰综合加工车间冲洗、车辆冲洗、工人宿舍卫生间冲厕用水和绿化用水等，其余废水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GB"/>
        </w:rPr>
        <w:t>达到灯塔镇污水厂的接管标准和《肉类加工工业水污染物排放标准》（GB13457-92）表3三级标准较严者后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，排入市政污水管网，进入灯塔镇污水厂进一步处理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。同时应做好待宰栏、屠宰车间、无害化车间、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运输道路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、车辆冲洗处、污水处理站、事故应急池、固体废物堆场、污水收集系统等区域防渗处理工作，防止对土壤和地下水环境造成影响。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（二）做好大气污染防治工作。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项目营运期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，集中收集</w:t>
      </w:r>
      <w:r>
        <w:rPr>
          <w:rFonts w:hint="eastAsia" w:ascii="仿宋_GB2312" w:hAnsi="仿宋_GB2312" w:eastAsia="仿宋_GB2312" w:cs="仿宋_GB2312"/>
          <w:sz w:val="32"/>
          <w:szCs w:val="32"/>
        </w:rPr>
        <w:t>屠宰车间、待宰间和污水处理站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的废气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生物除臭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等设施处理后，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《恶臭污染物排放标准》（GB14554-93）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排放要求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由15m高排气筒排放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设置专人管理待宰间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及时冲刷待宰间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及时处理冲刷废水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及时清扫粪便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喷洒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生物除臭</w:t>
      </w:r>
      <w:r>
        <w:rPr>
          <w:rFonts w:hint="eastAsia" w:ascii="仿宋_GB2312" w:hAnsi="仿宋_GB2312" w:eastAsia="仿宋_GB2312" w:cs="仿宋_GB2312"/>
          <w:sz w:val="32"/>
          <w:szCs w:val="32"/>
        </w:rPr>
        <w:t>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将粪便及时外运综合利用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减轻对周边环境的影响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（三）做好噪声污染防治工作。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优先选用低噪音的生产工艺和机械设备，并采取减振、隔音、消音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厂区绿化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等措施，确保厂界噪声排放达到《工业企业厂界环境噪声排放标准》（GB12348-2008）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类标准。</w:t>
      </w:r>
    </w:p>
    <w:p>
      <w:pPr>
        <w:spacing w:line="240" w:lineRule="auto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（四）做好固体废物管理工作。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危险废物应按规范要求处理处置，其在厂内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应符合《危险废物贮存污染控制标准》（GB18597-2001）及其修改单要求；一般工业固体废物应综合利用或妥善处理处置，其在厂内暂存应符合《一般工业固体废物贮存、处置场污染控制标准》（GB18599-2001）及其修改单要求</w:t>
      </w:r>
      <w:r>
        <w:rPr>
          <w:rFonts w:hint="eastAsia" w:ascii="仿宋_GB2312" w:hAnsi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（五）加强环境风险防范工作。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制定环境风险事故防范和应急预案，建立健全事故应急体系，落实有效的环境风险防范措施。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制订严格的规章制度，加强污染防治设施的管理和维护，减少污染物排放，防范非正常工况下废水排放造成水环境污染事故。按要求设置足够容积的废水事故应急池，确保环境风险安全可控</w:t>
      </w:r>
      <w:r>
        <w:rPr>
          <w:rFonts w:hint="eastAsia" w:ascii="仿宋_GB2312" w:hAnsi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项目废水总量控制指标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灯塔镇污水处理厂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不再单独分配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项目废气总量控制指标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0.4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氮氧化物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五、项目环保投资应纳入工程投资概算并予以落实。</w:t>
      </w:r>
    </w:p>
    <w:p>
      <w:pPr>
        <w:spacing w:line="240" w:lineRule="auto"/>
        <w:ind w:firstLine="640" w:firstLineChars="200"/>
        <w:rPr>
          <w:rFonts w:ascii="仿宋_GB2312" w:hAnsi="华文仿宋"/>
          <w:sz w:val="32"/>
          <w:szCs w:val="32"/>
        </w:rPr>
      </w:pPr>
      <w:r>
        <w:rPr>
          <w:rFonts w:hint="eastAsia" w:ascii="仿宋_GB2312" w:hAnsi="华文仿宋"/>
          <w:sz w:val="32"/>
          <w:szCs w:val="32"/>
        </w:rPr>
        <w:t>六、报告书经批准后，项目的性质、规模、地点、采用的生产工艺或防治污染、防止生态破坏的措施发生重大变动的，建设单位应重新报批项目的环境影响评价文件。</w:t>
      </w:r>
    </w:p>
    <w:p>
      <w:pPr>
        <w:spacing w:line="240" w:lineRule="auto"/>
        <w:ind w:firstLine="640" w:firstLineChars="200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/>
          <w:sz w:val="32"/>
          <w:szCs w:val="32"/>
        </w:rPr>
        <w:t>七、建设项目应严格执行配套建设的环境保护设施与主体工程同时设计、同时施工、同时投产使用的环境保护“三同时”制度。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项目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必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须在污水管网建成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并接入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灯塔镇污水处理厂后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投产</w:t>
      </w:r>
      <w:r>
        <w:rPr>
          <w:rFonts w:hint="eastAsia" w:ascii="仿宋_GB2312" w:hAnsi="仿宋_GB2312" w:cs="仿宋_GB2312"/>
          <w:snapToGrid w:val="0"/>
          <w:sz w:val="32"/>
          <w:szCs w:val="32"/>
          <w:lang w:eastAsia="zh-CN"/>
        </w:rPr>
        <w:t>运行。</w:t>
      </w:r>
    </w:p>
    <w:p>
      <w:pPr>
        <w:pStyle w:val="2"/>
        <w:ind w:firstLine="640" w:firstLineChars="200"/>
        <w:jc w:val="left"/>
        <w:rPr>
          <w:rFonts w:hint="eastAsia"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你单位应在收到本批复后20个工作日内，将批准后的报告书分送属地生态环境部门，并按规定接受各级生态环境部门日常监督检查。</w:t>
      </w:r>
    </w:p>
    <w:p>
      <w:pPr>
        <w:ind w:firstLine="5440" w:firstLineChars="1700"/>
        <w:rPr>
          <w:rFonts w:hint="eastAsia" w:ascii="仿宋_GB2312" w:hAnsi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</w:rPr>
        <w:t>河源市生态环境局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20</w:t>
      </w:r>
      <w:r>
        <w:rPr>
          <w:rFonts w:ascii="仿宋_GB2312" w:hAnsi="仿宋_GB2312"/>
          <w:sz w:val="32"/>
          <w:szCs w:val="32"/>
        </w:rPr>
        <w:t>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60288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qh9N00AAAAAIBAAAPAAAAAAAAAAEAIAAA&#10;ACIAAABkcnMvZG93bnJldi54bWxQSwECFAAUAAAACACHTuJA/Mp3XtsBAACW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  <w:lang w:eastAsia="zh-CN"/>
        </w:rPr>
        <w:t>市局</w:t>
      </w:r>
      <w:r>
        <w:rPr>
          <w:rFonts w:hint="eastAsia" w:ascii="仿宋_GB2312"/>
          <w:sz w:val="28"/>
          <w:szCs w:val="28"/>
          <w:lang w:eastAsia="zh-CN"/>
        </w:rPr>
        <w:t>东源</w:t>
      </w:r>
      <w:r>
        <w:rPr>
          <w:rFonts w:hint="eastAsia" w:ascii="仿宋_GB2312" w:eastAsia="仿宋_GB2312"/>
          <w:sz w:val="28"/>
          <w:szCs w:val="28"/>
          <w:lang w:eastAsia="zh-CN"/>
        </w:rPr>
        <w:t>分局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280" w:firstLineChars="100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8240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H03TQAAAAAgEAAA8AAAAAAAAAAQAgAAAA&#10;IgAAAGRycy9kb3ducmV2LnhtbFBLAQIUABQAAAAIAIdO4kDeHL+E2gEAAJY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1pt;width:450pt;z-index:251659264;mso-width-relative:page;mso-height-relative:page;" filled="f" stroked="t" coordsize="21600,21600" o:gfxdata="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+R6mHVAAAABgEAAA8AAAAAAAAA&#10;AQAgAAAAIgAAAGRycy9kb3ducmV2LnhtbFBLAQIUABQAAAAIAIdO4kAFGQs32wEAAJoDAAAOAAAA&#10;AAAAAAEAIAAAACQ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河源市</w:t>
      </w:r>
      <w:r>
        <w:rPr>
          <w:rFonts w:hint="eastAsia" w:ascii="仿宋_GB2312" w:eastAsia="仿宋_GB2312"/>
          <w:sz w:val="28"/>
          <w:szCs w:val="28"/>
          <w:lang w:eastAsia="zh-CN"/>
        </w:rPr>
        <w:t>生态</w:t>
      </w:r>
      <w:r>
        <w:rPr>
          <w:rFonts w:hint="eastAsia" w:ascii="仿宋_GB2312" w:eastAsia="仿宋_GB2312"/>
          <w:sz w:val="28"/>
          <w:szCs w:val="28"/>
        </w:rPr>
        <w:t>环境局             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0AEC"/>
    <w:rsid w:val="089B7255"/>
    <w:rsid w:val="090B399C"/>
    <w:rsid w:val="0F7064BA"/>
    <w:rsid w:val="16425BE8"/>
    <w:rsid w:val="1A7C609D"/>
    <w:rsid w:val="2C037E9C"/>
    <w:rsid w:val="32FB208E"/>
    <w:rsid w:val="380D461C"/>
    <w:rsid w:val="589D6CAD"/>
    <w:rsid w:val="6AEB5AC8"/>
    <w:rsid w:val="6B77223E"/>
    <w:rsid w:val="7B2A4311"/>
    <w:rsid w:val="7C1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ind w:firstLine="0"/>
      <w:jc w:val="center"/>
      <w:textAlignment w:val="baseline"/>
    </w:pPr>
    <w:rPr>
      <w:rFonts w:ascii="宋体" w:hAnsi="Courier New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2021-07-21T00:59:00Z</dcterms:created>
  <dc:creator>lenovo</dc:creator>
  <cp:lastModifiedBy>李惠文</cp:lastModifiedBy>
  <cp:lastPrinted>2021-07-21T07:01:00Z</cp:lastPrinted>
  <dcterms:modified xsi:type="dcterms:W3CDTF">2021-07-22T03:30:26Z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