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仿宋_GB2312" w:cs="仿宋_GB2312"/>
          <w:sz w:val="32"/>
          <w:szCs w:val="32"/>
          <w:lang w:val="en-US"/>
        </w:rPr>
      </w:pPr>
    </w:p>
    <w:tbl>
      <w:tblPr>
        <w:tblStyle w:val="6"/>
        <w:tblpPr w:leftFromText="180" w:rightFromText="180" w:vertAnchor="text" w:horzAnchor="page" w:tblpXSpec="center" w:tblpY="645"/>
        <w:tblOverlap w:val="never"/>
        <w:tblW w:w="14681" w:type="dxa"/>
        <w:jc w:val="center"/>
        <w:tblInd w:w="0" w:type="dxa"/>
        <w:shd w:val="clear" w:color="auto" w:fill="auto"/>
        <w:tblLayout w:type="fixed"/>
        <w:tblCellMar>
          <w:top w:w="0" w:type="dxa"/>
          <w:left w:w="0" w:type="dxa"/>
          <w:bottom w:w="0" w:type="dxa"/>
          <w:right w:w="0" w:type="dxa"/>
        </w:tblCellMar>
      </w:tblPr>
      <w:tblGrid>
        <w:gridCol w:w="645"/>
        <w:gridCol w:w="1496"/>
        <w:gridCol w:w="3948"/>
        <w:gridCol w:w="3240"/>
        <w:gridCol w:w="5352"/>
      </w:tblGrid>
      <w:tr>
        <w:tblPrEx>
          <w:shd w:val="clear" w:color="auto" w:fill="auto"/>
          <w:tblLayout w:type="fixed"/>
          <w:tblCellMar>
            <w:top w:w="0" w:type="dxa"/>
            <w:left w:w="0" w:type="dxa"/>
            <w:bottom w:w="0" w:type="dxa"/>
            <w:right w:w="0" w:type="dxa"/>
          </w:tblCellMar>
        </w:tblPrEx>
        <w:trPr>
          <w:trHeight w:val="1180" w:hRule="atLeast"/>
          <w:jc w:val="center"/>
        </w:trPr>
        <w:tc>
          <w:tcPr>
            <w:tcW w:w="14681" w:type="dxa"/>
            <w:gridSpan w:val="5"/>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80" w:lineRule="exact"/>
              <w:ind w:left="0" w:leftChars="0" w:right="0" w:rightChars="0" w:firstLine="0" w:firstLineChars="0"/>
              <w:jc w:val="center"/>
              <w:textAlignment w:val="center"/>
              <w:outlineLvl w:val="9"/>
              <w:rPr>
                <w:rFonts w:hint="eastAsia" w:ascii="宋体" w:hAnsi="宋体" w:eastAsia="方正小标宋简体" w:cs="方正小标宋简体"/>
                <w:color w:val="000000"/>
                <w:sz w:val="40"/>
                <w:szCs w:val="40"/>
                <w:lang w:val="en-US"/>
              </w:rPr>
            </w:pPr>
            <w:bookmarkStart w:id="0" w:name="_GoBack"/>
            <w:r>
              <w:rPr>
                <w:rFonts w:hint="eastAsia" w:ascii="宋体" w:hAnsi="宋体" w:eastAsia="方正小标宋简体" w:cs="方正小标宋简体"/>
                <w:color w:val="000000"/>
                <w:kern w:val="0"/>
                <w:sz w:val="44"/>
                <w:szCs w:val="40"/>
                <w:lang w:val="en-US" w:eastAsia="zh-CN" w:bidi="ar"/>
              </w:rPr>
              <w:t>涉企依法不予行政处罚的轻微行政违法行为目录清单</w:t>
            </w:r>
            <w:bookmarkEnd w:id="0"/>
          </w:p>
        </w:tc>
      </w:tr>
      <w:tr>
        <w:tblPrEx>
          <w:tblLayout w:type="fixed"/>
          <w:tblCellMar>
            <w:top w:w="0" w:type="dxa"/>
            <w:left w:w="0" w:type="dxa"/>
            <w:bottom w:w="0" w:type="dxa"/>
            <w:right w:w="0" w:type="dxa"/>
          </w:tblCellMar>
        </w:tblPrEx>
        <w:trPr>
          <w:trHeight w:val="58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实施主体</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违法行为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法律依据</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不予处罚的条件</w:t>
            </w:r>
          </w:p>
        </w:tc>
      </w:tr>
      <w:tr>
        <w:tblPrEx>
          <w:tblLayout w:type="fixed"/>
          <w:tblCellMar>
            <w:top w:w="0" w:type="dxa"/>
            <w:left w:w="0" w:type="dxa"/>
            <w:bottom w:w="0" w:type="dxa"/>
            <w:right w:w="0" w:type="dxa"/>
          </w:tblCellMar>
        </w:tblPrEx>
        <w:trPr>
          <w:trHeight w:val="10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建设项目需要配套建设的环境保护设施未经验收的、未依法向社会公开环境保护设施验收报告的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《建设项目环境保护管理条例》</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污染防治设施已按环评要求建设完成并正常运行，投入生产未超过6个月，且达标排放，企业处于验收阶段的；经责令公开，并在3个工作日内依法向社会公开环境保护设施验收报告的。</w:t>
            </w:r>
          </w:p>
        </w:tc>
      </w:tr>
      <w:tr>
        <w:tblPrEx>
          <w:shd w:val="clear" w:color="auto" w:fill="auto"/>
          <w:tblLayout w:type="fixed"/>
          <w:tblCellMar>
            <w:top w:w="0" w:type="dxa"/>
            <w:left w:w="0" w:type="dxa"/>
            <w:bottom w:w="0" w:type="dxa"/>
            <w:right w:w="0" w:type="dxa"/>
          </w:tblCellMar>
        </w:tblPrEx>
        <w:trPr>
          <w:trHeight w:val="54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建设项目未依法备案环境影响登记表的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《环境影响评价法》</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经责令改正后5个工作日内按要求完成备案的。</w:t>
            </w:r>
          </w:p>
        </w:tc>
      </w:tr>
      <w:tr>
        <w:tblPrEx>
          <w:tblLayout w:type="fixed"/>
          <w:tblCellMar>
            <w:top w:w="0" w:type="dxa"/>
            <w:left w:w="0" w:type="dxa"/>
            <w:bottom w:w="0" w:type="dxa"/>
            <w:right w:w="0" w:type="dxa"/>
          </w:tblCellMar>
        </w:tblPrEx>
        <w:trPr>
          <w:trHeight w:val="8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3</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未按规定安装、使用自动检测设备或未与生态环境主管部门联网的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《中华人民共和国大气污染防治法》</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首次发现，经责令限期改正后及时完成整改，且期间污染物达标排放的。</w:t>
            </w:r>
          </w:p>
        </w:tc>
      </w:tr>
      <w:tr>
        <w:tblPrEx>
          <w:tblLayout w:type="fixed"/>
          <w:tblCellMar>
            <w:top w:w="0" w:type="dxa"/>
            <w:left w:w="0" w:type="dxa"/>
            <w:bottom w:w="0" w:type="dxa"/>
            <w:right w:w="0" w:type="dxa"/>
          </w:tblCellMar>
        </w:tblPrEx>
        <w:trPr>
          <w:trHeight w:val="5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4</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超标排放污染物的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《中华人民共和国大气污染防治法》</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常规污染物单因子超标倍数</w:t>
            </w:r>
            <w:r>
              <w:rPr>
                <w:rStyle w:val="8"/>
                <w:rFonts w:ascii="宋体" w:hAnsi="宋体"/>
                <w:kern w:val="2"/>
                <w:sz w:val="22"/>
                <w:szCs w:val="22"/>
                <w:lang w:val="en-US" w:eastAsia="zh-CN" w:bidi="ar"/>
              </w:rPr>
              <w:t>≤</w:t>
            </w:r>
            <w:r>
              <w:rPr>
                <w:rStyle w:val="7"/>
                <w:rFonts w:ascii="宋体" w:hAnsi="宋体"/>
                <w:kern w:val="2"/>
                <w:sz w:val="22"/>
                <w:szCs w:val="22"/>
                <w:lang w:val="en-US" w:eastAsia="zh-CN" w:bidi="ar"/>
              </w:rPr>
              <w:t>0.1倍，当日完成整改的</w:t>
            </w:r>
          </w:p>
        </w:tc>
      </w:tr>
      <w:tr>
        <w:tblPrEx>
          <w:tblLayout w:type="fixed"/>
          <w:tblCellMar>
            <w:top w:w="0" w:type="dxa"/>
            <w:left w:w="0" w:type="dxa"/>
            <w:bottom w:w="0" w:type="dxa"/>
            <w:right w:w="0" w:type="dxa"/>
          </w:tblCellMar>
        </w:tblPrEx>
        <w:trPr>
          <w:trHeight w:val="8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5</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无法正常运行污染防治设施的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《中华人民共和国大气污染防治法》</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因突发故障导致污染防治设施不正常运行，及时报告并采取停、限产措施减少污染物排放的,未造成大气、水体、土壤污染后果的。</w:t>
            </w:r>
          </w:p>
        </w:tc>
      </w:tr>
      <w:tr>
        <w:tblPrEx>
          <w:tblLayout w:type="fixed"/>
          <w:tblCellMar>
            <w:top w:w="0" w:type="dxa"/>
            <w:left w:w="0" w:type="dxa"/>
            <w:bottom w:w="0" w:type="dxa"/>
            <w:right w:w="0" w:type="dxa"/>
          </w:tblCellMar>
        </w:tblPrEx>
        <w:trPr>
          <w:trHeight w:val="10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6</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重点监管排污单位违反环境信息公开规定的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《中华人民共和国大气污染防治法》</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首次发现，排污单位环境信息未及时公开或公开内容不全，经责令改正后5个工作日内按要求完成整改的（不含公开不真实内容、弄虚作假行为）。</w:t>
            </w:r>
          </w:p>
        </w:tc>
      </w:tr>
      <w:tr>
        <w:tblPrEx>
          <w:tblLayout w:type="fixed"/>
          <w:tblCellMar>
            <w:top w:w="0" w:type="dxa"/>
            <w:left w:w="0" w:type="dxa"/>
            <w:bottom w:w="0" w:type="dxa"/>
            <w:right w:w="0" w:type="dxa"/>
          </w:tblCellMar>
        </w:tblPrEx>
        <w:trPr>
          <w:trHeight w:val="8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7</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不设置危险废物识别标志的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《中华人民共和国固体废物污染环境防治法》</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首次发现，存在未张贴或未规范张贴危险废物贮存场所标签、标志等危险废物管理不规范行为，经现场检查指出后立即改正的。</w:t>
            </w:r>
          </w:p>
        </w:tc>
      </w:tr>
      <w:tr>
        <w:tblPrEx>
          <w:tblLayout w:type="fixed"/>
          <w:tblCellMar>
            <w:top w:w="0" w:type="dxa"/>
            <w:left w:w="0" w:type="dxa"/>
            <w:bottom w:w="0" w:type="dxa"/>
            <w:right w:w="0" w:type="dxa"/>
          </w:tblCellMar>
        </w:tblPrEx>
        <w:trPr>
          <w:trHeight w:val="8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b/>
                <w:bCs w:val="0"/>
                <w:color w:val="000000"/>
                <w:kern w:val="0"/>
                <w:sz w:val="22"/>
                <w:szCs w:val="22"/>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b/>
                <w:bCs w:val="0"/>
                <w:color w:val="000000"/>
                <w:kern w:val="0"/>
                <w:sz w:val="22"/>
                <w:szCs w:val="22"/>
                <w:lang w:val="en-US" w:eastAsia="zh-CN" w:bidi="ar"/>
              </w:rPr>
              <w:t>实施主体</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b/>
                <w:bCs w:val="0"/>
                <w:color w:val="000000"/>
                <w:kern w:val="0"/>
                <w:sz w:val="22"/>
                <w:szCs w:val="22"/>
                <w:lang w:val="en-US" w:eastAsia="zh-CN" w:bidi="ar"/>
              </w:rPr>
              <w:t>违法行为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b/>
                <w:bCs w:val="0"/>
                <w:color w:val="000000"/>
                <w:kern w:val="0"/>
                <w:sz w:val="22"/>
                <w:szCs w:val="22"/>
                <w:lang w:val="en-US" w:eastAsia="zh-CN" w:bidi="ar"/>
              </w:rPr>
              <w:t>法律依据</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b/>
                <w:bCs w:val="0"/>
                <w:color w:val="000000"/>
                <w:kern w:val="0"/>
                <w:sz w:val="22"/>
                <w:szCs w:val="22"/>
                <w:lang w:val="en-US" w:eastAsia="zh-CN" w:bidi="ar"/>
              </w:rPr>
              <w:t>不予处罚的条件</w:t>
            </w:r>
          </w:p>
        </w:tc>
      </w:tr>
      <w:tr>
        <w:tblPrEx>
          <w:tblLayout w:type="fixed"/>
          <w:tblCellMar>
            <w:top w:w="0" w:type="dxa"/>
            <w:left w:w="0" w:type="dxa"/>
            <w:bottom w:w="0" w:type="dxa"/>
            <w:right w:w="0" w:type="dxa"/>
          </w:tblCellMar>
        </w:tblPrEx>
        <w:trPr>
          <w:trHeight w:val="5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8</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未密闭易产生扬尘的物料的，或未采取有效措施防治扬尘污染的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《中华人民共和国大气污染防治法》</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首次发现，堆放面积在50平方米以内，经责令限期改正后及时完成整改的。</w:t>
            </w:r>
          </w:p>
        </w:tc>
      </w:tr>
      <w:tr>
        <w:tblPrEx>
          <w:tblLayout w:type="fixed"/>
          <w:tblCellMar>
            <w:top w:w="0" w:type="dxa"/>
            <w:left w:w="0" w:type="dxa"/>
            <w:bottom w:w="0" w:type="dxa"/>
            <w:right w:w="0" w:type="dxa"/>
          </w:tblCellMar>
        </w:tblPrEx>
        <w:trPr>
          <w:trHeight w:val="8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9</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对不按照规定制定水污染事故的应急方案的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《中华人民共和国水污染防治法》</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首次发现，经发现后能及时主动制定水污染事故应急预案，且未发生水污染事故的。</w:t>
            </w:r>
          </w:p>
        </w:tc>
      </w:tr>
      <w:tr>
        <w:tblPrEx>
          <w:tblLayout w:type="fixed"/>
          <w:tblCellMar>
            <w:top w:w="0" w:type="dxa"/>
            <w:left w:w="0" w:type="dxa"/>
            <w:bottom w:w="0" w:type="dxa"/>
            <w:right w:w="0" w:type="dxa"/>
          </w:tblCellMar>
        </w:tblPrEx>
        <w:trPr>
          <w:trHeight w:val="10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10</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对单位燃用不符合质量标准的煤炭、石油焦的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22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《中华人民共和国大气污染防治法》</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首次发现，及时完成整改，且期间污染物达标排放的。</w:t>
            </w:r>
          </w:p>
        </w:tc>
      </w:tr>
      <w:tr>
        <w:tblPrEx>
          <w:tblLayout w:type="fixed"/>
          <w:tblCellMar>
            <w:top w:w="0" w:type="dxa"/>
            <w:left w:w="0" w:type="dxa"/>
            <w:bottom w:w="0" w:type="dxa"/>
            <w:right w:w="0" w:type="dxa"/>
          </w:tblCellMar>
        </w:tblPrEx>
        <w:trPr>
          <w:trHeight w:val="8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11</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市生态环境局</w:t>
            </w:r>
          </w:p>
        </w:tc>
        <w:tc>
          <w:tcPr>
            <w:tcW w:w="3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在禁燃区内新建、扩建燃用高污染燃料的设施或未按照规定拆除已建成的不能达标排放的燃煤供热锅炉的</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《中华人民共和国大气污染防治法》</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首次发现，锅炉未使用，发现后5个工作日内主动拆除的。</w:t>
            </w:r>
          </w:p>
        </w:tc>
      </w:tr>
    </w:tbl>
    <w:p>
      <w:pPr>
        <w:keepNext w:val="0"/>
        <w:keepLines w:val="0"/>
        <w:widowControl w:val="0"/>
        <w:suppressLineNumbers w:val="0"/>
        <w:spacing w:before="0" w:beforeAutospacing="0" w:after="0" w:afterAutospacing="0"/>
        <w:ind w:left="0" w:right="0"/>
        <w:jc w:val="both"/>
        <w:rPr>
          <w:rFonts w:ascii="宋体" w:hAnsi="宋体"/>
          <w:lang w:val="en-US"/>
        </w:rPr>
      </w:pPr>
    </w:p>
    <w:p>
      <w:pPr>
        <w:rPr>
          <w:rFonts w:ascii="宋体" w:hAnsi="宋体"/>
        </w:rPr>
      </w:pPr>
    </w:p>
    <w:sectPr>
      <w:footerReference r:id="rId3" w:type="default"/>
      <w:pgSz w:w="16838" w:h="11906" w:orient="landscape"/>
      <w:pgMar w:top="1440" w:right="1531" w:bottom="1440"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-144145</wp:posOffset>
              </wp:positionV>
              <wp:extent cx="727075" cy="2901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7075"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35pt;height:22.85pt;width:57.25pt;mso-position-horizontal:outside;mso-position-horizontal-relative:margin;z-index:251658240;mso-width-relative:page;mso-height-relative:page;" filled="f" stroked="f" coordsize="21600,21600" o:gfxdata="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IEe81QAAAAcBAAAP&#10;AAAAAAAAAAEAIAAAACIAAABkcnMvZG93bnJldi54bWxQSwECFAAUAAAACACHTuJA7aPTsxsCAAAT&#10;BAAADgAAAAAAAAABACAAAAAkAQAAZHJzL2Uyb0RvYy54bWxQSwUGAAAAAAYABgBZAQAAsQU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25414"/>
    <w:rsid w:val="083151A9"/>
    <w:rsid w:val="093844B5"/>
    <w:rsid w:val="30533675"/>
    <w:rsid w:val="4042043C"/>
    <w:rsid w:val="43E91B63"/>
    <w:rsid w:val="4B437BE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kern w:val="2"/>
      <w:sz w:val="30"/>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刘斌</cp:lastModifiedBy>
  <cp:lastPrinted>2020-12-04T02:40:00Z</cp:lastPrinted>
  <dcterms:modified xsi:type="dcterms:W3CDTF">2020-12-08T03:25:44Z</dcterms:modified>
  <dc:title>河环〔2020〕92号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