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600" w:lineRule="exact"/>
        <w:ind w:left="0" w:leftChars="0" w:right="0" w:rightChars="0"/>
        <w:jc w:val="left"/>
        <w:textAlignment w:val="auto"/>
        <w:rPr>
          <w:rFonts w:hint="eastAsia" w:ascii="黑体" w:hAnsi="黑体" w:eastAsia="黑体" w:cs="黑体"/>
          <w:bCs/>
          <w:kern w:val="0"/>
          <w:lang w:val="en-US" w:eastAsia="zh-CN"/>
        </w:rPr>
      </w:pPr>
      <w:r>
        <w:rPr>
          <w:rFonts w:hint="eastAsia" w:ascii="黑体" w:hAnsi="黑体" w:eastAsia="黑体" w:cs="黑体"/>
          <w:bCs/>
          <w:kern w:val="0"/>
          <w:sz w:val="32"/>
          <w:szCs w:val="32"/>
        </w:rPr>
        <w:t>附件</w:t>
      </w:r>
      <w:r>
        <w:rPr>
          <w:rFonts w:hint="eastAsia" w:ascii="黑体" w:hAnsi="黑体" w:eastAsia="黑体" w:cs="黑体"/>
          <w:bCs/>
          <w:kern w:val="0"/>
          <w:sz w:val="32"/>
          <w:szCs w:val="32"/>
          <w:lang w:val="en-US" w:eastAsia="zh-CN"/>
        </w:rPr>
        <w:t>5</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left"/>
        <w:textAlignment w:val="auto"/>
        <w:rPr>
          <w:rFonts w:hint="eastAsia" w:ascii="方正小标宋简体" w:hAnsi="方正小标宋简体" w:eastAsia="方正小标宋简体" w:cs="方正小标宋简体"/>
          <w:sz w:val="44"/>
          <w:szCs w:val="44"/>
        </w:rPr>
      </w:pPr>
    </w:p>
    <w:p>
      <w:pPr>
        <w:pStyle w:val="9"/>
        <w:pageBreakBefore w:val="0"/>
        <w:numPr>
          <w:ilvl w:val="0"/>
          <w:numId w:val="0"/>
        </w:numPr>
        <w:kinsoku/>
        <w:wordWrap/>
        <w:overflowPunct/>
        <w:topLinePunct w:val="0"/>
        <w:autoSpaceDE/>
        <w:autoSpaceDN/>
        <w:bidi w:val="0"/>
        <w:spacing w:before="0" w:beforeAutospacing="0" w:after="0" w:afterAutospacing="0" w:line="600" w:lineRule="exact"/>
        <w:ind w:left="0" w:leftChars="0" w:right="0" w:rightChars="0"/>
        <w:textAlignment w:val="auto"/>
        <w:rPr>
          <w:rFonts w:hint="eastAsia" w:ascii="方正小标宋简体" w:hAnsi="方正小标宋简体" w:eastAsia="方正小标宋简体" w:cs="方正小标宋简体"/>
          <w:color w:val="auto"/>
          <w:kern w:val="44"/>
          <w:sz w:val="44"/>
          <w:shd w:val="clear" w:color="auto" w:fill="FFFFFF"/>
        </w:rPr>
      </w:pPr>
      <w:r>
        <w:rPr>
          <w:rFonts w:hint="eastAsia" w:ascii="方正小标宋简体" w:hAnsi="方正小标宋简体" w:eastAsia="方正小标宋简体" w:cs="方正小标宋简体"/>
          <w:color w:val="auto"/>
          <w:kern w:val="44"/>
          <w:sz w:val="44"/>
          <w:shd w:val="clear" w:color="auto" w:fill="FFFFFF"/>
        </w:rPr>
        <w:t>知识产权纠纷</w:t>
      </w:r>
      <w:r>
        <w:rPr>
          <w:rFonts w:hint="eastAsia" w:ascii="方正小标宋简体" w:hAnsi="方正小标宋简体" w:eastAsia="方正小标宋简体" w:cs="方正小标宋简体"/>
          <w:color w:val="auto"/>
          <w:kern w:val="44"/>
          <w:sz w:val="44"/>
          <w:shd w:val="clear" w:color="auto" w:fill="FFFFFF"/>
          <w:lang w:eastAsia="zh-CN"/>
        </w:rPr>
        <w:t>行政</w:t>
      </w:r>
      <w:r>
        <w:rPr>
          <w:rFonts w:hint="eastAsia" w:ascii="方正小标宋简体" w:hAnsi="方正小标宋简体" w:eastAsia="方正小标宋简体" w:cs="方正小标宋简体"/>
          <w:color w:val="auto"/>
          <w:kern w:val="44"/>
          <w:sz w:val="44"/>
          <w:shd w:val="clear" w:color="auto" w:fill="FFFFFF"/>
        </w:rPr>
        <w:t>调解</w:t>
      </w:r>
      <w:r>
        <w:rPr>
          <w:rFonts w:hint="eastAsia" w:ascii="方正小标宋简体" w:hAnsi="方正小标宋简体" w:eastAsia="方正小标宋简体" w:cs="方正小标宋简体"/>
          <w:color w:val="auto"/>
          <w:kern w:val="44"/>
          <w:sz w:val="44"/>
          <w:shd w:val="clear" w:color="auto" w:fill="FFFFFF"/>
          <w:lang w:eastAsia="zh-CN"/>
        </w:rPr>
        <w:t>能力提升</w:t>
      </w:r>
    </w:p>
    <w:p>
      <w:pPr>
        <w:pStyle w:val="9"/>
        <w:pageBreakBefore w:val="0"/>
        <w:numPr>
          <w:ilvl w:val="0"/>
          <w:numId w:val="0"/>
        </w:numPr>
        <w:kinsoku/>
        <w:wordWrap/>
        <w:overflowPunct/>
        <w:topLinePunct w:val="0"/>
        <w:autoSpaceDE/>
        <w:autoSpaceDN/>
        <w:bidi w:val="0"/>
        <w:spacing w:before="0" w:beforeAutospacing="0" w:after="0" w:afterAutospacing="0" w:line="600" w:lineRule="exact"/>
        <w:ind w:left="0" w:leftChars="0" w:right="0" w:rightChars="0"/>
        <w:textAlignment w:val="auto"/>
        <w:rPr>
          <w:rFonts w:hint="eastAsia" w:ascii="方正小标宋简体" w:hAnsi="方正小标宋简体" w:eastAsia="方正小标宋简体" w:cs="方正小标宋简体"/>
          <w:sz w:val="44"/>
        </w:rPr>
      </w:pPr>
      <w:r>
        <w:rPr>
          <w:rFonts w:hint="eastAsia" w:ascii="方正小标宋简体" w:hAnsi="方正小标宋简体" w:eastAsia="方正小标宋简体" w:cs="方正小标宋简体"/>
          <w:color w:val="auto"/>
          <w:kern w:val="44"/>
          <w:sz w:val="44"/>
          <w:shd w:val="clear" w:color="auto" w:fill="FFFFFF"/>
        </w:rPr>
        <w:t>项目申报指南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eastAsia="黑体" w:cs="黑体"/>
          <w:sz w:val="32"/>
          <w:szCs w:val="32"/>
        </w:rPr>
      </w:pPr>
      <w:r>
        <w:rPr>
          <w:rFonts w:hint="eastAsia" w:eastAsia="黑体" w:cs="黑体"/>
          <w:sz w:val="32"/>
          <w:szCs w:val="32"/>
        </w:rPr>
        <w:t>一、项目名称</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sz w:val="32"/>
          <w:szCs w:val="32"/>
        </w:rPr>
      </w:pPr>
      <w:r>
        <w:rPr>
          <w:rFonts w:hint="eastAsia" w:cs="仿宋_GB2312"/>
          <w:sz w:val="32"/>
          <w:szCs w:val="32"/>
        </w:rPr>
        <w:t>知识产权纠纷</w:t>
      </w:r>
      <w:r>
        <w:rPr>
          <w:rFonts w:hint="eastAsia" w:cs="仿宋_GB2312"/>
          <w:sz w:val="32"/>
          <w:szCs w:val="32"/>
          <w:lang w:eastAsia="zh-CN"/>
        </w:rPr>
        <w:t>行政</w:t>
      </w:r>
      <w:r>
        <w:rPr>
          <w:rFonts w:hint="eastAsia" w:cs="仿宋_GB2312"/>
          <w:sz w:val="32"/>
          <w:szCs w:val="32"/>
        </w:rPr>
        <w:t>调解能力提升项目</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rPr>
          <w:rFonts w:hint="eastAsia" w:eastAsia="黑体" w:cs="黑体"/>
          <w:sz w:val="32"/>
          <w:szCs w:val="32"/>
        </w:rPr>
      </w:pPr>
      <w:r>
        <w:rPr>
          <w:rFonts w:hint="eastAsia" w:eastAsia="黑体" w:cs="黑体"/>
          <w:sz w:val="32"/>
          <w:szCs w:val="32"/>
        </w:rPr>
        <w:t>二、项目目标</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rFonts w:hint="eastAsia" w:cs="仿宋_GB2312"/>
          <w:sz w:val="32"/>
          <w:szCs w:val="32"/>
        </w:rPr>
      </w:pPr>
      <w:r>
        <w:rPr>
          <w:rFonts w:hint="eastAsia" w:cs="仿宋_GB2312"/>
          <w:sz w:val="32"/>
          <w:szCs w:val="32"/>
        </w:rPr>
        <w:t>推动全市知识产权纠纷</w:t>
      </w:r>
      <w:r>
        <w:rPr>
          <w:rFonts w:hint="eastAsia" w:cs="仿宋_GB2312"/>
          <w:sz w:val="32"/>
          <w:szCs w:val="32"/>
          <w:lang w:eastAsia="zh-CN"/>
        </w:rPr>
        <w:t>行政</w:t>
      </w:r>
      <w:r>
        <w:rPr>
          <w:rFonts w:hint="eastAsia" w:cs="仿宋_GB2312"/>
          <w:sz w:val="32"/>
          <w:szCs w:val="32"/>
        </w:rPr>
        <w:t>调解工作的开展，建立多元化知识产权纠纷解决机制，推动行业协会协助行政机关开展知识产权侵权调查取证和纠纷调解工作，以点带面，全面提升全市知识产权纠纷调解能力。</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rFonts w:hint="eastAsia" w:ascii="黑体" w:hAnsi="黑体" w:eastAsia="黑体" w:cs="黑体"/>
          <w:sz w:val="32"/>
          <w:szCs w:val="32"/>
        </w:rPr>
      </w:pPr>
      <w:r>
        <w:rPr>
          <w:rFonts w:hint="eastAsia" w:eastAsia="黑体" w:cs="黑体"/>
          <w:sz w:val="32"/>
          <w:szCs w:val="32"/>
        </w:rPr>
        <w:t>三、</w:t>
      </w:r>
      <w:r>
        <w:rPr>
          <w:rFonts w:hint="eastAsia" w:eastAsia="黑体" w:cs="黑体"/>
          <w:sz w:val="32"/>
          <w:szCs w:val="32"/>
          <w:lang w:eastAsia="zh-CN"/>
        </w:rPr>
        <w:t>项目</w:t>
      </w:r>
      <w:r>
        <w:rPr>
          <w:rFonts w:hint="eastAsia" w:eastAsia="黑体" w:cs="黑体"/>
          <w:sz w:val="32"/>
          <w:szCs w:val="32"/>
        </w:rPr>
        <w:t>任务</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rFonts w:hint="eastAsia" w:cs="仿宋_GB2312"/>
          <w:sz w:val="32"/>
          <w:szCs w:val="32"/>
          <w:lang w:eastAsia="zh-CN"/>
        </w:rPr>
      </w:pPr>
      <w:r>
        <w:rPr>
          <w:rFonts w:hint="eastAsia" w:cs="仿宋_GB2312"/>
          <w:sz w:val="32"/>
          <w:szCs w:val="32"/>
          <w:lang w:eastAsia="zh-CN"/>
        </w:rPr>
        <w:t>（一）组织举办至少</w:t>
      </w:r>
      <w:r>
        <w:rPr>
          <w:rFonts w:hint="eastAsia" w:cs="仿宋_GB2312"/>
          <w:sz w:val="32"/>
          <w:szCs w:val="32"/>
          <w:lang w:val="en-US" w:eastAsia="zh-CN"/>
        </w:rPr>
        <w:t>1</w:t>
      </w:r>
      <w:r>
        <w:rPr>
          <w:rFonts w:hint="eastAsia" w:cs="仿宋_GB2312"/>
          <w:sz w:val="32"/>
          <w:szCs w:val="32"/>
        </w:rPr>
        <w:t>场知识产权侵权调查取证、知识产权纠纷调解等实务培训班</w:t>
      </w:r>
      <w:r>
        <w:rPr>
          <w:rFonts w:hint="eastAsia" w:cs="仿宋_GB2312"/>
          <w:sz w:val="32"/>
          <w:szCs w:val="32"/>
          <w:lang w:eastAsia="zh-CN"/>
        </w:rPr>
        <w:t>，提升行政调解能力。</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rFonts w:hint="eastAsia" w:cs="仿宋_GB2312"/>
          <w:sz w:val="32"/>
          <w:szCs w:val="32"/>
          <w:lang w:eastAsia="zh-CN"/>
        </w:rPr>
      </w:pPr>
      <w:r>
        <w:rPr>
          <w:rFonts w:hint="eastAsia" w:cs="仿宋_GB2312"/>
          <w:sz w:val="32"/>
          <w:szCs w:val="32"/>
          <w:lang w:eastAsia="zh-CN"/>
        </w:rPr>
        <w:t>（二）</w:t>
      </w:r>
      <w:r>
        <w:rPr>
          <w:rFonts w:hint="eastAsia"/>
        </w:rPr>
        <w:t>加强</w:t>
      </w:r>
      <w:r>
        <w:rPr>
          <w:rFonts w:hint="eastAsia"/>
          <w:lang w:eastAsia="zh-CN"/>
        </w:rPr>
        <w:t>知识产权纠纷行政调解</w:t>
      </w:r>
      <w:r>
        <w:rPr>
          <w:rFonts w:hint="eastAsia"/>
        </w:rPr>
        <w:t>基础条件建设，按照</w:t>
      </w:r>
      <w:r>
        <w:rPr>
          <w:rFonts w:hint="eastAsia"/>
          <w:lang w:eastAsia="zh-CN"/>
        </w:rPr>
        <w:t>相关</w:t>
      </w:r>
      <w:r>
        <w:rPr>
          <w:rFonts w:hint="eastAsia"/>
        </w:rPr>
        <w:t>要求为</w:t>
      </w:r>
      <w:r>
        <w:rPr>
          <w:rFonts w:hint="eastAsia"/>
          <w:lang w:eastAsia="zh-CN"/>
        </w:rPr>
        <w:t>行政调解</w:t>
      </w:r>
      <w:r>
        <w:rPr>
          <w:rFonts w:hint="eastAsia"/>
        </w:rPr>
        <w:t>工作提供良好的软硬件保障</w:t>
      </w:r>
      <w:r>
        <w:rPr>
          <w:rFonts w:hint="eastAsia"/>
          <w:lang w:eastAsia="zh-CN"/>
        </w:rPr>
        <w:t>。</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rFonts w:hint="eastAsia" w:cs="仿宋_GB2312"/>
          <w:sz w:val="32"/>
          <w:szCs w:val="32"/>
          <w:lang w:eastAsia="zh-CN"/>
        </w:rPr>
      </w:pPr>
      <w:r>
        <w:rPr>
          <w:rFonts w:hint="eastAsia" w:cs="仿宋_GB2312"/>
          <w:sz w:val="32"/>
          <w:szCs w:val="32"/>
          <w:lang w:eastAsia="zh-CN"/>
        </w:rPr>
        <w:t>（三）建立知识产权争议行政调解机制1个，</w:t>
      </w:r>
      <w:r>
        <w:rPr>
          <w:rFonts w:hint="eastAsia"/>
        </w:rPr>
        <w:t>针对重点产业、重点区域、专业镇、电子商务平台</w:t>
      </w:r>
      <w:r>
        <w:rPr>
          <w:rFonts w:hint="eastAsia"/>
          <w:lang w:eastAsia="zh-CN"/>
        </w:rPr>
        <w:t>等</w:t>
      </w:r>
      <w:r>
        <w:rPr>
          <w:rFonts w:hint="eastAsia" w:cs="仿宋_GB2312"/>
          <w:sz w:val="32"/>
          <w:szCs w:val="32"/>
          <w:lang w:eastAsia="zh-CN"/>
        </w:rPr>
        <w:t>探索建立知识产权纠纷多元化解决机制，依法保护权利人合法权益。</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rFonts w:hint="eastAsia" w:cs="仿宋_GB2312"/>
          <w:sz w:val="32"/>
          <w:szCs w:val="32"/>
          <w:lang w:eastAsia="zh-CN"/>
        </w:rPr>
      </w:pPr>
      <w:r>
        <w:rPr>
          <w:rFonts w:hint="eastAsia" w:cs="仿宋_GB2312"/>
          <w:sz w:val="32"/>
          <w:szCs w:val="32"/>
          <w:lang w:val="en-US" w:eastAsia="zh-CN"/>
        </w:rPr>
        <w:t>（四）</w:t>
      </w:r>
      <w:r>
        <w:rPr>
          <w:rFonts w:hint="eastAsia" w:cs="仿宋_GB2312"/>
          <w:sz w:val="32"/>
          <w:szCs w:val="32"/>
          <w:lang w:eastAsia="zh-CN"/>
        </w:rPr>
        <w:t>通过公众媒体或现场咨询活动（至少</w:t>
      </w:r>
      <w:r>
        <w:rPr>
          <w:rFonts w:hint="eastAsia" w:cs="仿宋_GB2312"/>
          <w:sz w:val="32"/>
          <w:szCs w:val="32"/>
          <w:lang w:val="en-US" w:eastAsia="zh-CN"/>
        </w:rPr>
        <w:t>1次</w:t>
      </w:r>
      <w:r>
        <w:rPr>
          <w:rFonts w:hint="eastAsia" w:cs="仿宋_GB2312"/>
          <w:sz w:val="32"/>
          <w:szCs w:val="32"/>
          <w:lang w:eastAsia="zh-CN"/>
        </w:rPr>
        <w:t>）等形式，宣传知识产权纠纷调解工作，同时加强与科研院所、行业协会组织合作，组织至少</w:t>
      </w:r>
      <w:r>
        <w:rPr>
          <w:rFonts w:hint="eastAsia" w:cs="仿宋_GB2312"/>
          <w:sz w:val="32"/>
          <w:szCs w:val="32"/>
          <w:lang w:val="en-US" w:eastAsia="zh-CN"/>
        </w:rPr>
        <w:t>2次</w:t>
      </w:r>
      <w:r>
        <w:rPr>
          <w:rFonts w:hint="eastAsia" w:cs="仿宋_GB2312"/>
          <w:sz w:val="32"/>
          <w:szCs w:val="32"/>
          <w:lang w:eastAsia="zh-CN"/>
        </w:rPr>
        <w:t>志愿者活动宣传行政调解职能，引导纠纷案件当事人通过调解化解纠纷，营造调解工作良好的社会氛围。协助行政机关开展至少</w:t>
      </w:r>
      <w:r>
        <w:rPr>
          <w:rFonts w:hint="eastAsia" w:cs="仿宋_GB2312"/>
          <w:sz w:val="32"/>
          <w:szCs w:val="32"/>
          <w:lang w:val="en-US" w:eastAsia="zh-CN"/>
        </w:rPr>
        <w:t>1次</w:t>
      </w:r>
      <w:bookmarkStart w:id="0" w:name="_GoBack"/>
      <w:bookmarkEnd w:id="0"/>
      <w:r>
        <w:rPr>
          <w:rFonts w:hint="eastAsia" w:cs="仿宋_GB2312"/>
          <w:sz w:val="32"/>
          <w:szCs w:val="32"/>
          <w:lang w:eastAsia="zh-CN"/>
        </w:rPr>
        <w:t>知识产权侵权调查取证和纠纷调解工作。</w:t>
      </w:r>
    </w:p>
    <w:p>
      <w:pPr>
        <w:pStyle w:val="2"/>
        <w:pageBreakBefore w:val="0"/>
        <w:numPr>
          <w:ilvl w:val="0"/>
          <w:numId w:val="0"/>
        </w:numPr>
        <w:kinsoku/>
        <w:wordWrap/>
        <w:overflowPunct/>
        <w:topLinePunct w:val="0"/>
        <w:autoSpaceDE/>
        <w:autoSpaceDN/>
        <w:bidi w:val="0"/>
        <w:spacing w:line="600" w:lineRule="exact"/>
        <w:ind w:left="0" w:leftChars="0" w:right="0" w:rightChars="0" w:firstLine="640"/>
        <w:textAlignment w:val="auto"/>
        <w:rPr>
          <w:rFonts w:hint="eastAsia" w:cs="仿宋_GB2312"/>
          <w:sz w:val="32"/>
          <w:szCs w:val="32"/>
          <w:lang w:val="en-US" w:eastAsia="zh-CN"/>
        </w:rPr>
      </w:pPr>
      <w:r>
        <w:rPr>
          <w:rFonts w:hint="eastAsia" w:cs="仿宋_GB2312"/>
          <w:sz w:val="32"/>
          <w:szCs w:val="32"/>
          <w:lang w:val="en-US" w:eastAsia="zh-CN"/>
        </w:rPr>
        <w:t>四、申报主体</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rFonts w:hint="eastAsia" w:cs="仿宋_GB2312"/>
          <w:sz w:val="32"/>
          <w:szCs w:val="32"/>
          <w:lang w:eastAsia="zh-CN"/>
        </w:rPr>
      </w:pPr>
      <w:r>
        <w:rPr>
          <w:rFonts w:hint="eastAsia" w:ascii="仿宋_GB2312" w:hAnsi="仿宋_GB2312" w:eastAsia="仿宋_GB2312" w:cs="仿宋_GB2312"/>
          <w:bCs/>
        </w:rPr>
        <w:t>河源市注册的、具有独立法人资格的律师事务所</w:t>
      </w:r>
      <w:r>
        <w:rPr>
          <w:rFonts w:hint="eastAsia" w:ascii="仿宋_GB2312" w:hAnsi="仿宋_GB2312" w:cs="仿宋_GB2312"/>
          <w:bCs/>
          <w:lang w:eastAsia="zh-CN"/>
        </w:rPr>
        <w:t>，</w:t>
      </w:r>
      <w:r>
        <w:rPr>
          <w:rFonts w:hint="eastAsia" w:cs="仿宋_GB2312"/>
          <w:sz w:val="32"/>
          <w:szCs w:val="32"/>
          <w:lang w:eastAsia="zh-CN"/>
        </w:rPr>
        <w:t>维权援助机构，非营利性的社会团体及行业协会。</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、申报材料</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pPr>
      <w:r>
        <w:rPr>
          <w:rFonts w:hint="eastAsia"/>
        </w:rPr>
        <w:t>（一）</w:t>
      </w:r>
      <w:r>
        <w:rPr>
          <w:rFonts w:hint="eastAsia" w:cs="仿宋_GB2312"/>
          <w:color w:val="auto"/>
          <w:sz w:val="32"/>
          <w:szCs w:val="32"/>
        </w:rPr>
        <w:t>《</w:t>
      </w:r>
      <w:r>
        <w:rPr>
          <w:rFonts w:hint="eastAsia" w:ascii="仿宋_GB2312" w:hAnsi="仿宋_GB2312" w:eastAsia="仿宋_GB2312" w:cs="仿宋_GB2312"/>
          <w:sz w:val="32"/>
          <w:szCs w:val="32"/>
          <w:lang w:bidi="ar"/>
        </w:rPr>
        <w:t>2021年度省市场监督管理局下放市县知识产权专项资金项目入库申报书</w:t>
      </w:r>
      <w:r>
        <w:rPr>
          <w:rFonts w:hint="eastAsia" w:cs="仿宋_GB2312"/>
          <w:color w:val="auto"/>
          <w:sz w:val="32"/>
          <w:szCs w:val="32"/>
        </w:rPr>
        <w:t>》</w:t>
      </w:r>
      <w:r>
        <w:t>；</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lang w:eastAsia="zh-CN"/>
        </w:rPr>
      </w:pPr>
      <w:r>
        <w:rPr>
          <w:rFonts w:hint="eastAsia"/>
        </w:rPr>
        <w:t>（二）主体资格登记证书加盖公章的复印件</w:t>
      </w:r>
      <w:r>
        <w:rPr>
          <w:rFonts w:hint="eastAsia"/>
          <w:lang w:eastAsia="zh-CN"/>
        </w:rPr>
        <w:t>；</w:t>
      </w:r>
    </w:p>
    <w:p>
      <w:pPr>
        <w:pStyle w:val="2"/>
        <w:pageBreakBefore w:val="0"/>
        <w:widowControl w:val="0"/>
        <w:numPr>
          <w:ilvl w:val="0"/>
          <w:numId w:val="0"/>
        </w:numPr>
        <w:tabs>
          <w:tab w:val="clear" w:pos="420"/>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bCs w:val="0"/>
          <w:kern w:val="2"/>
          <w:sz w:val="32"/>
          <w:szCs w:val="24"/>
          <w:lang w:val="en-US" w:eastAsia="zh-CN" w:bidi="ar-SA"/>
        </w:rPr>
      </w:pPr>
      <w:r>
        <w:rPr>
          <w:rFonts w:hint="eastAsia" w:ascii="Times New Roman" w:hAnsi="Times New Roman" w:eastAsia="仿宋_GB2312" w:cs="Times New Roman"/>
          <w:bCs w:val="0"/>
          <w:kern w:val="2"/>
          <w:sz w:val="32"/>
          <w:szCs w:val="24"/>
          <w:lang w:val="en-US" w:eastAsia="zh-CN" w:bidi="ar-SA"/>
        </w:rPr>
        <w:t>（三）真实性承诺函</w:t>
      </w:r>
      <w:r>
        <w:rPr>
          <w:rFonts w:hint="eastAsia" w:eastAsia="仿宋_GB2312" w:cs="Times New Roman"/>
          <w:bCs w:val="0"/>
          <w:kern w:val="2"/>
          <w:sz w:val="32"/>
          <w:szCs w:val="24"/>
          <w:lang w:val="en-US" w:eastAsia="zh-CN" w:bidi="ar-SA"/>
        </w:rPr>
        <w:t>。</w:t>
      </w:r>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textAlignment w:val="auto"/>
        <w:rPr>
          <w:rFonts w:hint="default"/>
          <w:lang w:val="en-US" w:eastAsia="zh-CN"/>
        </w:rPr>
      </w:pPr>
      <w:r>
        <w:rPr>
          <w:rFonts w:hint="eastAsia" w:ascii="仿宋" w:hAnsi="仿宋" w:eastAsia="仿宋" w:cs="仿宋"/>
          <w:sz w:val="32"/>
          <w:szCs w:val="32"/>
        </w:rPr>
        <w:t>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ind w:right="320" w:rightChars="100"/>
                            <w:rPr>
                              <w:rStyle w:val="7"/>
                              <w:rFonts w:hint="eastAsia"/>
                              <w:sz w:val="28"/>
                            </w:rPr>
                          </w:pPr>
                          <w:r>
                            <w:rPr>
                              <w:rStyle w:val="7"/>
                              <w:rFonts w:hint="eastAsia"/>
                              <w:sz w:val="28"/>
                            </w:rPr>
                            <w:t>—</w:t>
                          </w:r>
                          <w:r>
                            <w:rPr>
                              <w:rStyle w:val="7"/>
                              <w:sz w:val="28"/>
                            </w:rPr>
                            <w:t xml:space="preserve"> </w:t>
                          </w:r>
                          <w:r>
                            <w:rPr>
                              <w:sz w:val="28"/>
                            </w:rPr>
                            <w:fldChar w:fldCharType="begin"/>
                          </w:r>
                          <w:r>
                            <w:rPr>
                              <w:rStyle w:val="7"/>
                              <w:sz w:val="28"/>
                            </w:rPr>
                            <w:instrText xml:space="preserve">PAGE  </w:instrText>
                          </w:r>
                          <w:r>
                            <w:rPr>
                              <w:sz w:val="28"/>
                            </w:rPr>
                            <w:fldChar w:fldCharType="separate"/>
                          </w:r>
                          <w:r>
                            <w:rPr>
                              <w:rStyle w:val="7"/>
                              <w:sz w:val="28"/>
                            </w:rPr>
                            <w:t>9</w:t>
                          </w:r>
                          <w:r>
                            <w:rPr>
                              <w:sz w:val="28"/>
                            </w:rPr>
                            <w:fldChar w:fldCharType="end"/>
                          </w:r>
                          <w:r>
                            <w:rPr>
                              <w:rStyle w:val="7"/>
                              <w:sz w:val="28"/>
                            </w:rPr>
                            <w:t xml:space="preserve"> </w:t>
                          </w:r>
                          <w:r>
                            <w:rPr>
                              <w:rStyle w:val="7"/>
                              <w:rFonts w:hint="eastAsia"/>
                              <w:sz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3I502rgEAAE0D&#10;AAAOAAAAAAAAAAEAIAAAAB4BAABkcnMvZTJvRG9jLnhtbFBLBQYAAAAABgAGAFkBAAA+BQAAAAA=&#10;">
              <v:fill on="f" focussize="0,0"/>
              <v:stroke on="f"/>
              <v:imagedata o:title=""/>
              <o:lock v:ext="edit" aspectratio="f"/>
              <v:textbox inset="0mm,0mm,0mm,0mm" style="mso-fit-shape-to-text:t;">
                <w:txbxContent>
                  <w:p>
                    <w:pPr>
                      <w:pStyle w:val="3"/>
                      <w:ind w:right="320" w:rightChars="100"/>
                      <w:rPr>
                        <w:rStyle w:val="7"/>
                        <w:rFonts w:hint="eastAsia"/>
                        <w:sz w:val="28"/>
                      </w:rPr>
                    </w:pPr>
                    <w:r>
                      <w:rPr>
                        <w:rStyle w:val="7"/>
                        <w:rFonts w:hint="eastAsia"/>
                        <w:sz w:val="28"/>
                      </w:rPr>
                      <w:t>—</w:t>
                    </w:r>
                    <w:r>
                      <w:rPr>
                        <w:rStyle w:val="7"/>
                        <w:sz w:val="28"/>
                      </w:rPr>
                      <w:t xml:space="preserve"> </w:t>
                    </w:r>
                    <w:r>
                      <w:rPr>
                        <w:sz w:val="28"/>
                      </w:rPr>
                      <w:fldChar w:fldCharType="begin"/>
                    </w:r>
                    <w:r>
                      <w:rPr>
                        <w:rStyle w:val="7"/>
                        <w:sz w:val="28"/>
                      </w:rPr>
                      <w:instrText xml:space="preserve">PAGE  </w:instrText>
                    </w:r>
                    <w:r>
                      <w:rPr>
                        <w:sz w:val="28"/>
                      </w:rPr>
                      <w:fldChar w:fldCharType="separate"/>
                    </w:r>
                    <w:r>
                      <w:rPr>
                        <w:rStyle w:val="7"/>
                        <w:sz w:val="28"/>
                      </w:rPr>
                      <w:t>9</w:t>
                    </w:r>
                    <w:r>
                      <w:rPr>
                        <w:sz w:val="28"/>
                      </w:rPr>
                      <w:fldChar w:fldCharType="end"/>
                    </w:r>
                    <w:r>
                      <w:rPr>
                        <w:rStyle w:val="7"/>
                        <w:sz w:val="28"/>
                      </w:rPr>
                      <w:t xml:space="preserve"> </w:t>
                    </w:r>
                    <w:r>
                      <w:rPr>
                        <w:rStyle w:val="7"/>
                        <w:rFonts w:hint="eastAsia"/>
                        <w:sz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024482"/>
    <w:rsid w:val="02487DD2"/>
    <w:rsid w:val="02B73F64"/>
    <w:rsid w:val="15900E9C"/>
    <w:rsid w:val="163956FA"/>
    <w:rsid w:val="21024482"/>
    <w:rsid w:val="25925263"/>
    <w:rsid w:val="29E5192D"/>
    <w:rsid w:val="2B13496B"/>
    <w:rsid w:val="2C987901"/>
    <w:rsid w:val="311A2CFE"/>
    <w:rsid w:val="35BD5EFB"/>
    <w:rsid w:val="3FC71C10"/>
    <w:rsid w:val="42D43300"/>
    <w:rsid w:val="4DA21697"/>
    <w:rsid w:val="51653CF8"/>
    <w:rsid w:val="51A4412E"/>
    <w:rsid w:val="54647038"/>
    <w:rsid w:val="56F64F1F"/>
    <w:rsid w:val="5CF3374B"/>
    <w:rsid w:val="65A57727"/>
    <w:rsid w:val="69FE0A9A"/>
    <w:rsid w:val="6AB941B5"/>
    <w:rsid w:val="6DDA2EB9"/>
    <w:rsid w:val="6F886E0E"/>
    <w:rsid w:val="74060938"/>
    <w:rsid w:val="7B896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page number"/>
    <w:basedOn w:val="6"/>
    <w:qFormat/>
    <w:uiPriority w:val="0"/>
  </w:style>
  <w:style w:type="paragraph" w:customStyle="1" w:styleId="9">
    <w:name w:val="样式1"/>
    <w:basedOn w:val="2"/>
    <w:qFormat/>
    <w:uiPriority w:val="0"/>
    <w:pPr>
      <w:widowControl/>
      <w:adjustRightInd w:val="0"/>
      <w:snapToGrid w:val="0"/>
      <w:spacing w:before="100" w:beforeAutospacing="1" w:after="100" w:afterAutospacing="1" w:line="640" w:lineRule="exact"/>
      <w:jc w:val="center"/>
    </w:pPr>
    <w:rPr>
      <w:rFonts w:ascii="小标宋" w:eastAsia="小标宋"/>
      <w:color w:val="000000"/>
      <w:kern w:val="0"/>
    </w:rPr>
  </w:style>
  <w:style w:type="paragraph" w:customStyle="1" w:styleId="10">
    <w:name w:val="正文 New"/>
    <w:qFormat/>
    <w:uiPriority w:val="0"/>
    <w:pPr>
      <w:widowControl w:val="0"/>
      <w:jc w:val="both"/>
    </w:pPr>
    <w:rPr>
      <w:rFonts w:ascii="Calibri" w:hAnsi="Calibri" w:eastAsia="仿宋_GB2312" w:cs="Times New Roman"/>
      <w:kern w:val="2"/>
      <w:sz w:val="3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ScaleCrop>false</ScaleCrop>
  <LinksUpToDate>false</LinksUpToDate>
  <CharactersWithSpaces>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2020-09-21T02:33:00Z</dcterms:created>
  <dc:creator>羅-敏儿</dc:creator>
  <cp:lastModifiedBy>陈明</cp:lastModifiedBy>
  <dcterms:modified xsi:type="dcterms:W3CDTF">2020-11-09T00:44:36Z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