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/>
        <w:textAlignment w:val="auto"/>
        <w:rPr>
          <w:rFonts w:hint="eastAsia" w:eastAsia="黑体" w:cs="黑体"/>
          <w:szCs w:val="32"/>
          <w:lang w:val="en-US"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3</w:t>
      </w:r>
    </w:p>
    <w:p>
      <w:pPr>
        <w:pStyle w:val="6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00" w:lineRule="exact"/>
        <w:ind w:left="1920" w:leftChars="200" w:right="0" w:rightChars="0" w:hanging="1280" w:hangingChars="400"/>
        <w:textAlignment w:val="auto"/>
        <w:rPr>
          <w:rFonts w:hint="eastAsia" w:cs="仿宋_GB2312"/>
          <w:sz w:val="32"/>
          <w:szCs w:val="32"/>
          <w:shd w:val="clear" w:color="auto" w:fill="FFFFFF"/>
        </w:rPr>
      </w:pPr>
    </w:p>
    <w:p>
      <w:pPr>
        <w:pStyle w:val="3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hd w:val="clear" w:color="auto" w:fill="FFFFFF"/>
        </w:rPr>
        <w:t>中小学知识产权</w:t>
      </w:r>
      <w:r>
        <w:rPr>
          <w:rFonts w:hint="eastAsia" w:ascii="方正小标宋简体" w:hAnsi="方正小标宋简体" w:eastAsia="方正小标宋简体" w:cs="方正小标宋简体"/>
          <w:sz w:val="44"/>
          <w:shd w:val="clear" w:color="auto" w:fill="FFFFFF"/>
          <w:lang w:eastAsia="zh-CN"/>
        </w:rPr>
        <w:t>教育</w:t>
      </w:r>
      <w:r>
        <w:rPr>
          <w:rFonts w:hint="eastAsia" w:ascii="方正小标宋简体" w:hAnsi="方正小标宋简体" w:eastAsia="方正小标宋简体" w:cs="方正小标宋简体"/>
          <w:sz w:val="44"/>
          <w:shd w:val="clear" w:color="auto" w:fill="FFFFFF"/>
        </w:rPr>
        <w:t>项目申报指南</w:t>
      </w:r>
    </w:p>
    <w:p>
      <w:pPr>
        <w:pStyle w:val="9"/>
        <w:keepNext/>
        <w:keepLines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600" w:lineRule="exact"/>
        <w:ind w:right="0" w:rightChars="0"/>
        <w:jc w:val="both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2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jc w:val="both"/>
        <w:textAlignment w:val="auto"/>
        <w:rPr>
          <w:rFonts w:hint="eastAsia"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一、项目名称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jc w:val="both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中小学知识产权</w:t>
      </w:r>
      <w:r>
        <w:rPr>
          <w:rFonts w:hint="eastAsia"/>
          <w:sz w:val="32"/>
          <w:szCs w:val="32"/>
          <w:lang w:eastAsia="zh-CN"/>
        </w:rPr>
        <w:t>教育项目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jc w:val="both"/>
        <w:textAlignment w:val="auto"/>
        <w:rPr>
          <w:rFonts w:hint="eastAsia"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二、项目目标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jc w:val="both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 w:ascii="仿宋_GB2312"/>
          <w:kern w:val="0"/>
          <w:szCs w:val="32"/>
        </w:rPr>
        <w:t>组织</w:t>
      </w:r>
      <w:r>
        <w:rPr>
          <w:rFonts w:hint="eastAsia"/>
          <w:szCs w:val="32"/>
        </w:rPr>
        <w:t>开展中小学知识产权专项教育</w:t>
      </w:r>
      <w:r>
        <w:rPr>
          <w:rFonts w:hint="eastAsia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引导</w:t>
      </w:r>
      <w:r>
        <w:rPr>
          <w:rFonts w:hint="eastAsia"/>
          <w:sz w:val="32"/>
          <w:szCs w:val="32"/>
          <w:lang w:eastAsia="zh-CN"/>
        </w:rPr>
        <w:t>学校</w:t>
      </w:r>
      <w:r>
        <w:rPr>
          <w:rFonts w:hint="eastAsia"/>
          <w:sz w:val="32"/>
          <w:szCs w:val="32"/>
        </w:rPr>
        <w:t>建立和健全知识产权教育工作体系，</w:t>
      </w:r>
      <w:r>
        <w:rPr>
          <w:rFonts w:hint="eastAsia"/>
          <w:sz w:val="32"/>
          <w:szCs w:val="32"/>
          <w:lang w:eastAsia="zh-CN"/>
        </w:rPr>
        <w:t>对知识产权教育工作成绩突出的中小学进行培优扶持。</w:t>
      </w:r>
      <w:r>
        <w:rPr>
          <w:rFonts w:hint="eastAsia"/>
          <w:sz w:val="32"/>
          <w:szCs w:val="32"/>
        </w:rPr>
        <w:t>培育知识产权教育试点示范</w:t>
      </w:r>
      <w:r>
        <w:rPr>
          <w:rFonts w:hint="eastAsia"/>
          <w:sz w:val="32"/>
          <w:szCs w:val="32"/>
          <w:lang w:eastAsia="zh-CN"/>
        </w:rPr>
        <w:t>后备</w:t>
      </w:r>
      <w:r>
        <w:rPr>
          <w:rFonts w:hint="eastAsia"/>
          <w:sz w:val="32"/>
          <w:szCs w:val="32"/>
        </w:rPr>
        <w:t>学校</w:t>
      </w:r>
      <w:r>
        <w:rPr>
          <w:rFonts w:hint="eastAsia"/>
          <w:sz w:val="32"/>
          <w:szCs w:val="32"/>
          <w:lang w:eastAsia="zh-CN"/>
        </w:rPr>
        <w:t>，积极申报评定“全国知识产权教育试点、示范学校”。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jc w:val="both"/>
        <w:textAlignment w:val="auto"/>
        <w:rPr>
          <w:rFonts w:hint="eastAsia" w:eastAsia="黑体" w:cs="黑体"/>
          <w:sz w:val="32"/>
          <w:szCs w:val="32"/>
          <w:lang w:val="en-US" w:eastAsia="zh-CN"/>
        </w:rPr>
      </w:pPr>
      <w:r>
        <w:rPr>
          <w:rFonts w:hint="eastAsia" w:eastAsia="黑体" w:cs="黑体"/>
          <w:sz w:val="32"/>
          <w:szCs w:val="32"/>
          <w:lang w:val="en-US" w:eastAsia="zh-CN"/>
        </w:rPr>
        <w:t>三、项目任务</w:t>
      </w:r>
    </w:p>
    <w:p>
      <w:pPr>
        <w:pStyle w:val="6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600" w:lineRule="exact"/>
        <w:ind w:right="0" w:rightChars="0" w:firstLine="640" w:firstLineChars="200"/>
        <w:jc w:val="left"/>
        <w:textAlignment w:val="auto"/>
        <w:rPr>
          <w:rFonts w:hint="eastAsia" w:cs="仿宋_GB2312"/>
          <w:sz w:val="32"/>
          <w:szCs w:val="32"/>
        </w:rPr>
      </w:pPr>
      <w:r>
        <w:rPr>
          <w:rFonts w:hint="eastAsia" w:cs="仿宋_GB2312"/>
          <w:sz w:val="32"/>
          <w:szCs w:val="32"/>
          <w:lang w:eastAsia="zh-CN"/>
        </w:rPr>
        <w:t>（一）</w:t>
      </w:r>
      <w:r>
        <w:rPr>
          <w:rFonts w:hint="eastAsia" w:cs="仿宋_GB2312"/>
          <w:sz w:val="32"/>
          <w:szCs w:val="32"/>
        </w:rPr>
        <w:t>引导</w:t>
      </w:r>
      <w:r>
        <w:rPr>
          <w:rFonts w:hint="eastAsia" w:cs="仿宋_GB2312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成立知识产权管理机构，配备知识产权专职工作人员，</w:t>
      </w:r>
      <w:r>
        <w:rPr>
          <w:rFonts w:hint="eastAsia" w:cs="仿宋_GB2312"/>
          <w:sz w:val="32"/>
          <w:szCs w:val="32"/>
        </w:rPr>
        <w:t>建立健全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知识产权</w:t>
      </w:r>
      <w:r>
        <w:rPr>
          <w:rFonts w:hint="eastAsia" w:ascii="仿宋_GB2312" w:hAnsi="仿宋_GB2312" w:cs="仿宋_GB2312"/>
          <w:sz w:val="32"/>
          <w:szCs w:val="32"/>
          <w:lang w:eastAsia="zh-CN" w:bidi="ar"/>
        </w:rPr>
        <w:t>工作体系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和激励机制，</w:t>
      </w:r>
      <w:r>
        <w:rPr>
          <w:rFonts w:hint="eastAsia" w:ascii="仿宋_GB2312" w:hAnsi="仿宋_GB2312" w:eastAsia="仿宋_GB2312" w:cs="仿宋_GB2312"/>
          <w:sz w:val="32"/>
        </w:rPr>
        <w:t>出台年度知识产权工作计划，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有知识产权专项工作经费</w:t>
      </w:r>
      <w:r>
        <w:rPr>
          <w:rFonts w:hint="eastAsia" w:ascii="仿宋_GB2312" w:hAnsi="仿宋_GB2312" w:cs="仿宋_GB2312"/>
          <w:sz w:val="32"/>
          <w:szCs w:val="32"/>
          <w:lang w:eastAsia="zh-CN" w:bidi="ar"/>
        </w:rPr>
        <w:t>。</w:t>
      </w:r>
    </w:p>
    <w:p>
      <w:pPr>
        <w:pStyle w:val="6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600" w:lineRule="exact"/>
        <w:ind w:right="0" w:rightChars="0"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cs="仿宋_GB2312"/>
          <w:sz w:val="32"/>
          <w:szCs w:val="32"/>
          <w:lang w:eastAsia="zh-CN"/>
        </w:rPr>
        <w:t>（二）引导学校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设立知识产权课程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支持并组织开展普及知识产权知识的体验教育和实践活动，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使得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学生社会责任感、创新精神和实践能力得到提高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。</w:t>
      </w:r>
    </w:p>
    <w:p>
      <w:pPr>
        <w:pStyle w:val="6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600" w:lineRule="exact"/>
        <w:ind w:right="0" w:rightChars="0"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（三）引导学校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积极为教职工和学生进行发明创造和科学实践活动提供施展平台，鼓励和支持创新成果获得知识产权保护，开展专利申请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。</w:t>
      </w:r>
    </w:p>
    <w:p>
      <w:pPr>
        <w:pStyle w:val="6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（四）在学校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举办不少于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次的知识产权讲座、培训或竞赛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加大知识产权宣传力度，师生知识产权意识不断增强。积极组织教职工及学生参加市内外的发明创新、科技竞赛活动，激发学生创新热情。</w:t>
      </w:r>
    </w:p>
    <w:p>
      <w:pPr>
        <w:pStyle w:val="6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60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 w:bidi="ar"/>
        </w:rPr>
        <w:t>（五）按照</w:t>
      </w:r>
      <w:r>
        <w:rPr>
          <w:rFonts w:hint="eastAsia"/>
          <w:sz w:val="32"/>
          <w:szCs w:val="32"/>
          <w:lang w:eastAsia="zh-CN"/>
        </w:rPr>
        <w:t>全国知识产权教育试点、示范学校的建设标准</w:t>
      </w:r>
      <w:r>
        <w:rPr>
          <w:rFonts w:hint="eastAsia"/>
          <w:sz w:val="32"/>
          <w:szCs w:val="32"/>
        </w:rPr>
        <w:t>培育知识产权教育试点示范</w:t>
      </w:r>
      <w:r>
        <w:rPr>
          <w:rFonts w:hint="eastAsia"/>
          <w:sz w:val="32"/>
          <w:szCs w:val="32"/>
          <w:lang w:eastAsia="zh-CN"/>
        </w:rPr>
        <w:t>后备</w:t>
      </w:r>
      <w:r>
        <w:rPr>
          <w:rFonts w:hint="eastAsia"/>
          <w:sz w:val="32"/>
          <w:szCs w:val="32"/>
        </w:rPr>
        <w:t>学校</w:t>
      </w:r>
      <w:r>
        <w:rPr>
          <w:rFonts w:hint="eastAsia"/>
          <w:sz w:val="32"/>
          <w:szCs w:val="32"/>
          <w:lang w:eastAsia="zh-CN"/>
        </w:rPr>
        <w:t>至少</w:t>
      </w:r>
      <w:r>
        <w:rPr>
          <w:rFonts w:hint="eastAsia"/>
          <w:sz w:val="32"/>
          <w:szCs w:val="32"/>
          <w:lang w:val="en-US" w:eastAsia="zh-CN"/>
        </w:rPr>
        <w:t>1家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，并积极申报教育试点、示范学校。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jc w:val="both"/>
        <w:textAlignment w:val="auto"/>
        <w:rPr>
          <w:rFonts w:hint="eastAsia" w:eastAsia="黑体" w:cs="黑体"/>
          <w:sz w:val="32"/>
          <w:szCs w:val="32"/>
          <w:lang w:eastAsia="zh-CN"/>
        </w:rPr>
      </w:pPr>
      <w:r>
        <w:rPr>
          <w:rFonts w:hint="eastAsia" w:eastAsia="黑体" w:cs="黑体"/>
          <w:sz w:val="32"/>
          <w:szCs w:val="32"/>
          <w:lang w:val="en-US" w:eastAsia="zh-CN"/>
        </w:rPr>
        <w:t>四</w:t>
      </w:r>
      <w:r>
        <w:rPr>
          <w:rFonts w:hint="eastAsia" w:eastAsia="黑体" w:cs="黑体"/>
          <w:sz w:val="32"/>
          <w:szCs w:val="32"/>
          <w:lang w:eastAsia="zh-CN"/>
        </w:rPr>
        <w:t>、申报主体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jc w:val="both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县（区）知识产权管理部门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jc w:val="both"/>
        <w:textAlignment w:val="auto"/>
        <w:rPr>
          <w:rFonts w:hint="eastAsia" w:eastAsia="黑体" w:cs="黑体"/>
          <w:color w:val="auto"/>
          <w:sz w:val="32"/>
          <w:szCs w:val="32"/>
        </w:rPr>
      </w:pPr>
      <w:r>
        <w:rPr>
          <w:rFonts w:hint="eastAsia" w:eastAsia="黑体" w:cs="黑体"/>
          <w:sz w:val="32"/>
          <w:szCs w:val="32"/>
          <w:lang w:eastAsia="zh-CN"/>
        </w:rPr>
        <w:t>五</w:t>
      </w:r>
      <w:r>
        <w:rPr>
          <w:rFonts w:hint="eastAsia" w:eastAsia="黑体" w:cs="黑体"/>
          <w:sz w:val="32"/>
          <w:szCs w:val="32"/>
        </w:rPr>
        <w:t>、</w:t>
      </w:r>
      <w:r>
        <w:rPr>
          <w:rFonts w:hint="eastAsia" w:eastAsia="黑体" w:cs="黑体"/>
          <w:color w:val="auto"/>
          <w:sz w:val="32"/>
          <w:szCs w:val="32"/>
        </w:rPr>
        <w:t>申报材料</w:t>
      </w:r>
    </w:p>
    <w:p>
      <w:pPr>
        <w:pStyle w:val="6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0" w:after="0" w:line="600" w:lineRule="exact"/>
        <w:ind w:right="0" w:rightChars="0" w:firstLine="640" w:firstLineChars="200"/>
        <w:jc w:val="left"/>
        <w:textAlignment w:val="auto"/>
        <w:rPr>
          <w:rFonts w:hint="eastAsia" w:cs="仿宋_GB2312"/>
          <w:color w:val="auto"/>
          <w:sz w:val="32"/>
          <w:szCs w:val="32"/>
        </w:rPr>
      </w:pPr>
      <w:r>
        <w:rPr>
          <w:rFonts w:hint="eastAsia" w:cs="仿宋_GB2312"/>
          <w:color w:val="auto"/>
          <w:sz w:val="32"/>
          <w:szCs w:val="32"/>
        </w:rPr>
        <w:t>（一）《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2021年度省市场监督管理局下放市县知识产权专项资金项目入库申报书</w:t>
      </w:r>
      <w:r>
        <w:rPr>
          <w:rFonts w:hint="eastAsia" w:cs="仿宋_GB2312"/>
          <w:color w:val="auto"/>
          <w:sz w:val="32"/>
          <w:szCs w:val="32"/>
        </w:rPr>
        <w:t>》；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jc w:val="both"/>
        <w:textAlignment w:val="auto"/>
        <w:rPr>
          <w:rFonts w:hint="eastAsia" w:cs="仿宋_GB2312"/>
          <w:color w:val="auto"/>
          <w:sz w:val="32"/>
          <w:szCs w:val="32"/>
        </w:rPr>
      </w:pPr>
      <w:r>
        <w:rPr>
          <w:rFonts w:hint="eastAsia" w:cs="仿宋_GB2312"/>
          <w:color w:val="auto"/>
          <w:sz w:val="32"/>
          <w:szCs w:val="32"/>
        </w:rPr>
        <w:t>（二）法人资格证复印件（加盖公章）；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jc w:val="both"/>
        <w:textAlignment w:val="auto"/>
        <w:rPr>
          <w:rFonts w:hint="eastAsia" w:cs="仿宋_GB2312"/>
          <w:color w:val="auto"/>
          <w:sz w:val="32"/>
          <w:szCs w:val="32"/>
        </w:rPr>
      </w:pPr>
      <w:r>
        <w:rPr>
          <w:rFonts w:hint="eastAsia" w:cs="仿宋_GB2312"/>
          <w:color w:val="auto"/>
          <w:sz w:val="32"/>
          <w:szCs w:val="32"/>
        </w:rPr>
        <w:t>（三）近两年的财务报表；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/>
        <w:textAlignment w:val="auto"/>
        <w:rPr>
          <w:rFonts w:hint="eastAsia" w:eastAsia="仿宋_GB2312"/>
          <w:lang w:eastAsia="zh-CN"/>
        </w:rPr>
      </w:pPr>
      <w:r>
        <w:rPr>
          <w:rFonts w:hint="eastAsia" w:cs="仿宋_GB2312"/>
          <w:color w:val="auto"/>
          <w:sz w:val="32"/>
          <w:szCs w:val="32"/>
          <w:lang w:eastAsia="zh-CN"/>
        </w:rPr>
        <w:t>（四）真实性承诺函；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jc w:val="both"/>
        <w:textAlignment w:val="auto"/>
        <w:rPr>
          <w:rFonts w:hint="eastAsia" w:cs="仿宋_GB2312"/>
          <w:color w:val="auto"/>
          <w:sz w:val="32"/>
          <w:szCs w:val="32"/>
        </w:rPr>
      </w:pPr>
      <w:r>
        <w:rPr>
          <w:rFonts w:hint="eastAsia" w:cs="仿宋_GB2312"/>
          <w:color w:val="auto"/>
          <w:sz w:val="32"/>
          <w:szCs w:val="32"/>
        </w:rPr>
        <w:t>（</w:t>
      </w:r>
      <w:r>
        <w:rPr>
          <w:rFonts w:hint="eastAsia" w:cs="仿宋_GB2312"/>
          <w:color w:val="auto"/>
          <w:sz w:val="32"/>
          <w:szCs w:val="32"/>
          <w:lang w:eastAsia="zh-CN"/>
        </w:rPr>
        <w:t>五</w:t>
      </w:r>
      <w:r>
        <w:rPr>
          <w:rFonts w:hint="eastAsia" w:cs="仿宋_GB2312"/>
          <w:color w:val="auto"/>
          <w:sz w:val="32"/>
          <w:szCs w:val="32"/>
        </w:rPr>
        <w:t>）其他证明申报条件、申报优势的材料。</w:t>
      </w:r>
    </w:p>
    <w:p>
      <w:pPr>
        <w:widowControl/>
        <w:adjustRightInd w:val="0"/>
        <w:snapToGrid w:val="0"/>
        <w:ind w:firstLine="482"/>
        <w:jc w:val="left"/>
        <w:rPr>
          <w:rFonts w:ascii="宋体" w:hAnsi="宋体"/>
          <w:szCs w:val="30"/>
        </w:rPr>
      </w:pP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3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3854F4"/>
    <w:rsid w:val="033854F4"/>
    <w:rsid w:val="05A662F1"/>
    <w:rsid w:val="08423920"/>
    <w:rsid w:val="0CA87B80"/>
    <w:rsid w:val="15F838D5"/>
    <w:rsid w:val="1A9B3C3A"/>
    <w:rsid w:val="1B251A01"/>
    <w:rsid w:val="1C554E3C"/>
    <w:rsid w:val="1C693E0D"/>
    <w:rsid w:val="1D7468AC"/>
    <w:rsid w:val="3EDB2ABE"/>
    <w:rsid w:val="3F182742"/>
    <w:rsid w:val="49F849CB"/>
    <w:rsid w:val="5F55370B"/>
    <w:rsid w:val="600334ED"/>
    <w:rsid w:val="63234221"/>
    <w:rsid w:val="66687E0C"/>
    <w:rsid w:val="6AD447FC"/>
    <w:rsid w:val="71A757B6"/>
    <w:rsid w:val="782C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basedOn w:val="1"/>
    <w:qFormat/>
    <w:uiPriority w:val="0"/>
    <w:pPr>
      <w:ind w:firstLine="200" w:firstLineChars="200"/>
    </w:pPr>
    <w:rPr>
      <w:rFonts w:ascii="Times New Roman" w:hAnsi="Times New Roman"/>
      <w:sz w:val="24"/>
    </w:rPr>
  </w:style>
  <w:style w:type="paragraph" w:styleId="4">
    <w:name w:val="Body Text"/>
    <w:basedOn w:val="1"/>
    <w:qFormat/>
    <w:uiPriority w:val="0"/>
    <w:rPr>
      <w:rFonts w:ascii="Times New Roman" w:hAnsi="Times New Roman" w:eastAsia="宋体" w:cs="Times New Roman"/>
      <w:sz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Times New Roman" w:hAnsi="Times New Roman" w:cs="Times New Roman"/>
      <w:kern w:val="0"/>
      <w:sz w:val="24"/>
      <w:lang w:val="en-US" w:eastAsia="zh-CN" w:bidi="ar"/>
    </w:rPr>
  </w:style>
  <w:style w:type="paragraph" w:customStyle="1" w:styleId="9">
    <w:name w:val="样式1"/>
    <w:basedOn w:val="3"/>
    <w:qFormat/>
    <w:uiPriority w:val="0"/>
    <w:pPr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eastAsia="小标宋"/>
      <w:color w:val="000000"/>
      <w:kern w:val="0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2020-07-11T11:26:00Z</dcterms:created>
  <dc:creator>小莉</dc:creator>
  <cp:lastModifiedBy>陈明</cp:lastModifiedBy>
  <dcterms:modified xsi:type="dcterms:W3CDTF">2020-11-09T00:43:18Z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