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4</w:t>
      </w:r>
    </w:p>
    <w:p>
      <w:pPr>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eastAsia"/>
        </w:rPr>
      </w:pPr>
    </w:p>
    <w:p>
      <w:pPr>
        <w:pageBreakBefore w:val="0"/>
        <w:widowControl w:val="0"/>
        <w:kinsoku/>
        <w:wordWrap/>
        <w:overflowPunct/>
        <w:topLinePunct w:val="0"/>
        <w:autoSpaceDE/>
        <w:autoSpaceDN/>
        <w:bidi w:val="0"/>
        <w:adjustRightInd/>
        <w:snapToGrid/>
        <w:spacing w:line="600" w:lineRule="exact"/>
        <w:ind w:left="0" w:leftChars="0" w:right="0" w:rightChars="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知识产权行政裁决效能提升项目申报指南</w:t>
      </w:r>
    </w:p>
    <w:p>
      <w:pPr>
        <w:pageBreakBefore w:val="0"/>
        <w:widowControl w:val="0"/>
        <w:kinsoku/>
        <w:wordWrap/>
        <w:overflowPunct/>
        <w:topLinePunct w:val="0"/>
        <w:autoSpaceDE/>
        <w:autoSpaceDN/>
        <w:bidi w:val="0"/>
        <w:adjustRightInd/>
        <w:snapToGrid/>
        <w:spacing w:line="600" w:lineRule="exact"/>
        <w:ind w:left="0" w:leftChars="0" w:right="0" w:rightChars="0"/>
        <w:textAlignment w:val="auto"/>
      </w:pP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一、项目名称</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pPr>
      <w:r>
        <w:rPr>
          <w:rFonts w:hint="eastAsia"/>
        </w:rPr>
        <w:t>知识产权行政</w:t>
      </w:r>
      <w:r>
        <w:rPr>
          <w:rFonts w:hint="eastAsia"/>
          <w:lang w:eastAsia="zh-CN"/>
        </w:rPr>
        <w:t>裁决效能</w:t>
      </w:r>
      <w:r>
        <w:rPr>
          <w:rFonts w:hint="eastAsia"/>
        </w:rPr>
        <w:t>提升项目</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二、项目目标</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rPr>
      </w:pPr>
      <w:r>
        <w:rPr>
          <w:rFonts w:hint="eastAsia"/>
        </w:rPr>
        <w:t>加强专利行政裁决基础条件建设，探索建立知识产权纠纷行政裁决案件快速处理机制，加强知识产权行政裁决队伍专业化、职业化建设，加大专利侵权纠纷行政裁决力度，提升行政裁决效能。</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三、项目任务</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default"/>
          <w:lang w:val="en-US" w:eastAsia="zh-CN"/>
        </w:rPr>
      </w:pPr>
      <w:r>
        <w:rPr>
          <w:rFonts w:hint="eastAsia"/>
          <w:lang w:val="en-US" w:eastAsia="zh-CN"/>
        </w:rPr>
        <w:t>（一）</w:t>
      </w:r>
      <w:r>
        <w:rPr>
          <w:rFonts w:hint="default"/>
          <w:lang w:val="en-US" w:eastAsia="zh-CN"/>
        </w:rPr>
        <w:t>组织开展至少1期专利侵权纠纷行政裁决业务专题培训班</w:t>
      </w:r>
      <w:r>
        <w:rPr>
          <w:rFonts w:hint="eastAsia"/>
          <w:lang w:val="en-US" w:eastAsia="zh-CN"/>
        </w:rPr>
        <w:t>，</w:t>
      </w:r>
      <w:r>
        <w:rPr>
          <w:rFonts w:hint="default"/>
          <w:lang w:val="en-US" w:eastAsia="zh-CN"/>
        </w:rPr>
        <w:t>通过</w:t>
      </w:r>
      <w:r>
        <w:rPr>
          <w:rFonts w:hint="eastAsia"/>
          <w:lang w:val="en-US" w:eastAsia="zh-CN"/>
        </w:rPr>
        <w:t>理论培训、</w:t>
      </w:r>
      <w:r>
        <w:rPr>
          <w:rFonts w:hint="default"/>
          <w:lang w:val="en-US" w:eastAsia="zh-CN"/>
        </w:rPr>
        <w:t>案例宣讲等方式提升行政裁决能力</w:t>
      </w:r>
      <w:r>
        <w:rPr>
          <w:rFonts w:hint="eastAsia"/>
          <w:lang w:val="en-US" w:eastAsia="zh-CN"/>
        </w:rPr>
        <w:t>；聘请专业技术人员作为技术调查员，参与案件办理，协助查明技术事实，提供咨询意见，</w:t>
      </w:r>
      <w:r>
        <w:rPr>
          <w:rFonts w:hint="default"/>
          <w:lang w:val="en-US" w:eastAsia="zh-CN"/>
        </w:rPr>
        <w:t>建立专业化、职业化的行政裁决队伍</w:t>
      </w:r>
      <w:r>
        <w:rPr>
          <w:rFonts w:hint="eastAsia"/>
          <w:lang w:val="en-US" w:eastAsia="zh-CN"/>
        </w:rPr>
        <w:t>。</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lang w:eastAsia="zh-CN"/>
        </w:rPr>
      </w:pPr>
      <w:r>
        <w:rPr>
          <w:rFonts w:hint="eastAsia"/>
          <w:lang w:val="en-US" w:eastAsia="zh-CN"/>
        </w:rPr>
        <w:t>（二）</w:t>
      </w:r>
      <w:r>
        <w:rPr>
          <w:rFonts w:hint="eastAsia"/>
        </w:rPr>
        <w:t>加强专利行政裁决基础条件建设，按照</w:t>
      </w:r>
      <w:r>
        <w:rPr>
          <w:rFonts w:hint="eastAsia"/>
          <w:lang w:eastAsia="zh-CN"/>
        </w:rPr>
        <w:t>相关</w:t>
      </w:r>
      <w:r>
        <w:rPr>
          <w:rFonts w:hint="eastAsia"/>
        </w:rPr>
        <w:t>要求为专利行政裁决工作提供良好的软硬件保障</w:t>
      </w:r>
      <w:r>
        <w:rPr>
          <w:rFonts w:hint="eastAsia"/>
          <w:lang w:eastAsia="zh-CN"/>
        </w:rPr>
        <w:t>。</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lang w:val="en-US" w:eastAsia="zh-CN"/>
        </w:rPr>
      </w:pPr>
      <w:r>
        <w:rPr>
          <w:rFonts w:hint="eastAsia"/>
          <w:lang w:val="en-US" w:eastAsia="zh-CN"/>
        </w:rPr>
        <w:t>（三）建立健全知识产权纠纷行政裁决案件处理机制，及时总结现行做法，借鉴其他部门有益经验，细化专利侵权纠纷行政裁决程序规范和实体标准，减少模糊地带。</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lang w:val="en-US" w:eastAsia="zh-CN"/>
        </w:rPr>
      </w:pPr>
      <w:r>
        <w:rPr>
          <w:rFonts w:hint="eastAsia"/>
          <w:lang w:val="en-US" w:eastAsia="zh-CN"/>
        </w:rPr>
        <w:t>（四）在公众媒体运用多种方式大力宣传专利侵权纠纷行政裁决的优势特点、工作成效和典型案例，鼓励引导相关权利人通过行政裁决解决专利侵权纠纷。</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lang w:eastAsia="zh-CN"/>
        </w:rPr>
      </w:pPr>
      <w:bookmarkStart w:id="0" w:name="_GoBack"/>
      <w:bookmarkEnd w:id="0"/>
      <w:r>
        <w:rPr>
          <w:rFonts w:hint="eastAsia" w:ascii="黑体" w:hAnsi="黑体" w:eastAsia="黑体" w:cs="黑体"/>
          <w:lang w:eastAsia="zh-CN"/>
        </w:rPr>
        <w:t>四</w:t>
      </w:r>
      <w:r>
        <w:rPr>
          <w:rFonts w:hint="eastAsia" w:ascii="黑体" w:hAnsi="黑体" w:eastAsia="黑体" w:cs="黑体"/>
        </w:rPr>
        <w:t>、申报</w:t>
      </w:r>
      <w:r>
        <w:rPr>
          <w:rFonts w:hint="eastAsia" w:ascii="黑体" w:hAnsi="黑体" w:eastAsia="黑体" w:cs="黑体"/>
          <w:lang w:eastAsia="zh-CN"/>
        </w:rPr>
        <w:t>主体</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lang w:val="en-US" w:eastAsia="zh-CN"/>
        </w:rPr>
      </w:pPr>
      <w:r>
        <w:rPr>
          <w:rFonts w:hint="eastAsia"/>
          <w:lang w:val="en-US" w:eastAsia="zh-CN"/>
        </w:rPr>
        <w:t>县（区）级知识产权管理部门。</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lang w:eastAsia="zh-CN"/>
        </w:rPr>
        <w:t>五</w:t>
      </w:r>
      <w:r>
        <w:rPr>
          <w:rFonts w:hint="eastAsia" w:ascii="黑体" w:hAnsi="黑体" w:eastAsia="黑体" w:cs="黑体"/>
        </w:rPr>
        <w:t>、申报材料</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pPr>
      <w:r>
        <w:rPr>
          <w:rFonts w:hint="eastAsia"/>
        </w:rPr>
        <w:t>（一）</w:t>
      </w:r>
      <w:r>
        <w:rPr>
          <w:rFonts w:hint="eastAsia" w:cs="仿宋_GB2312"/>
          <w:color w:val="auto"/>
          <w:sz w:val="32"/>
          <w:szCs w:val="32"/>
        </w:rPr>
        <w:t>《</w:t>
      </w:r>
      <w:r>
        <w:rPr>
          <w:rFonts w:hint="eastAsia" w:ascii="仿宋_GB2312" w:hAnsi="仿宋_GB2312" w:eastAsia="仿宋_GB2312" w:cs="仿宋_GB2312"/>
          <w:sz w:val="32"/>
          <w:szCs w:val="32"/>
          <w:lang w:bidi="ar"/>
        </w:rPr>
        <w:t>2021年度省市场监督管理局下放市县知识产权专项资金项目入库申报书</w:t>
      </w:r>
      <w:r>
        <w:rPr>
          <w:rFonts w:hint="eastAsia" w:cs="仿宋_GB2312"/>
          <w:color w:val="auto"/>
          <w:sz w:val="32"/>
          <w:szCs w:val="32"/>
        </w:rPr>
        <w:t>》</w:t>
      </w:r>
      <w:r>
        <w:t>；</w:t>
      </w:r>
    </w:p>
    <w:p>
      <w:pPr>
        <w:pageBreakBefore w:val="0"/>
        <w:widowControl w:val="0"/>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lang w:eastAsia="zh-CN"/>
        </w:rPr>
      </w:pPr>
      <w:r>
        <w:rPr>
          <w:rFonts w:hint="eastAsia"/>
        </w:rPr>
        <w:t>（二）主体资格登记证书加盖公章的复印件</w:t>
      </w:r>
      <w:r>
        <w:rPr>
          <w:rFonts w:hint="eastAsia"/>
          <w:lang w:eastAsia="zh-CN"/>
        </w:rPr>
        <w:t>；</w:t>
      </w:r>
    </w:p>
    <w:p>
      <w:pPr>
        <w:pStyle w:val="2"/>
        <w:pageBreakBefore w:val="0"/>
        <w:widowControl w:val="0"/>
        <w:numPr>
          <w:ilvl w:val="0"/>
          <w:numId w:val="0"/>
        </w:numPr>
        <w:tabs>
          <w:tab w:val="clear" w:pos="420"/>
        </w:tabs>
        <w:kinsoku/>
        <w:wordWrap/>
        <w:overflowPunct/>
        <w:topLinePunct w:val="0"/>
        <w:autoSpaceDE/>
        <w:autoSpaceDN/>
        <w:bidi w:val="0"/>
        <w:adjustRightInd/>
        <w:snapToGrid/>
        <w:spacing w:line="600" w:lineRule="exact"/>
        <w:ind w:left="0" w:leftChars="0" w:right="0" w:rightChars="0" w:firstLine="640" w:firstLineChars="200"/>
        <w:textAlignment w:val="auto"/>
        <w:rPr>
          <w:rFonts w:hint="eastAsia" w:ascii="Times New Roman" w:hAnsi="Times New Roman" w:eastAsia="仿宋_GB2312" w:cs="Times New Roman"/>
          <w:bCs w:val="0"/>
          <w:kern w:val="2"/>
          <w:sz w:val="32"/>
          <w:szCs w:val="24"/>
          <w:lang w:val="en-US" w:eastAsia="zh-CN" w:bidi="ar-SA"/>
        </w:rPr>
      </w:pPr>
      <w:r>
        <w:rPr>
          <w:rFonts w:hint="eastAsia" w:ascii="Times New Roman" w:hAnsi="Times New Roman" w:eastAsia="仿宋_GB2312" w:cs="Times New Roman"/>
          <w:bCs w:val="0"/>
          <w:kern w:val="2"/>
          <w:sz w:val="32"/>
          <w:szCs w:val="24"/>
          <w:lang w:val="en-US" w:eastAsia="zh-CN" w:bidi="ar-SA"/>
        </w:rPr>
        <w:t>（三）真实性承诺函</w:t>
      </w:r>
      <w:r>
        <w:rPr>
          <w:rFonts w:hint="eastAsia" w:eastAsia="仿宋_GB2312" w:cs="Times New Roman"/>
          <w:bCs w:val="0"/>
          <w:kern w:val="2"/>
          <w:sz w:val="32"/>
          <w:szCs w:val="24"/>
          <w:lang w:val="en-US" w:eastAsia="zh-CN" w:bidi="ar-SA"/>
        </w:rPr>
        <w:t>。</w:t>
      </w:r>
    </w:p>
    <w:p>
      <w:pPr>
        <w:pageBreakBefore w:val="0"/>
        <w:widowControl w:val="0"/>
        <w:kinsoku/>
        <w:wordWrap/>
        <w:overflowPunct/>
        <w:topLinePunct w:val="0"/>
        <w:autoSpaceDE/>
        <w:autoSpaceDN/>
        <w:bidi w:val="0"/>
        <w:adjustRightInd/>
        <w:snapToGrid/>
        <w:spacing w:line="600" w:lineRule="exact"/>
        <w:ind w:left="0" w:leftChars="0" w:right="0" w:rightChars="0"/>
        <w:textAlignment w:val="auto"/>
      </w:pPr>
    </w:p>
    <w:p>
      <w:pPr>
        <w:pageBreakBefore w:val="0"/>
        <w:widowControl w:val="0"/>
        <w:kinsoku/>
        <w:wordWrap/>
        <w:overflowPunct/>
        <w:topLinePunct w:val="0"/>
        <w:autoSpaceDE/>
        <w:autoSpaceDN/>
        <w:bidi w:val="0"/>
        <w:adjustRightInd/>
        <w:snapToGrid/>
        <w:spacing w:line="600" w:lineRule="exact"/>
        <w:ind w:left="0" w:leftChars="0" w:right="0" w:right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F66C35"/>
    <w:rsid w:val="00C12610"/>
    <w:rsid w:val="03D53B85"/>
    <w:rsid w:val="06C84341"/>
    <w:rsid w:val="0E9C1FFD"/>
    <w:rsid w:val="0F3E0EC1"/>
    <w:rsid w:val="136810E2"/>
    <w:rsid w:val="1A683092"/>
    <w:rsid w:val="1C605A1E"/>
    <w:rsid w:val="20303A87"/>
    <w:rsid w:val="2B5C115B"/>
    <w:rsid w:val="37094F8B"/>
    <w:rsid w:val="441F1443"/>
    <w:rsid w:val="52F66C35"/>
    <w:rsid w:val="5472419C"/>
    <w:rsid w:val="68A80E7B"/>
    <w:rsid w:val="771E5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样式1"/>
    <w:basedOn w:val="2"/>
    <w:qFormat/>
    <w:uiPriority w:val="0"/>
    <w:pPr>
      <w:widowControl/>
      <w:adjustRightInd w:val="0"/>
      <w:snapToGrid w:val="0"/>
      <w:spacing w:before="100" w:beforeAutospacing="1" w:after="100" w:afterAutospacing="1" w:line="640" w:lineRule="exact"/>
      <w:jc w:val="center"/>
    </w:pPr>
    <w:rPr>
      <w:rFonts w:ascii="小标宋" w:eastAsia="小标宋"/>
      <w:color w:val="000000"/>
      <w:kern w:val="0"/>
    </w:rPr>
  </w:style>
  <w:style w:type="paragraph" w:customStyle="1" w:styleId="8">
    <w:name w:val="正文 New"/>
    <w:qFormat/>
    <w:uiPriority w:val="0"/>
    <w:pPr>
      <w:widowControl w:val="0"/>
      <w:jc w:val="both"/>
    </w:pPr>
    <w:rPr>
      <w:rFonts w:ascii="Calibri" w:hAnsi="Calibri" w:eastAsia="仿宋_GB2312" w:cs="Times New Roman"/>
      <w:kern w:val="2"/>
      <w:sz w:val="32"/>
      <w:lang w:val="en-US" w:eastAsia="zh-CN" w:bidi="ar-SA"/>
    </w:rPr>
  </w:style>
  <w:style w:type="paragraph" w:customStyle="1" w:styleId="9">
    <w:name w:val="_Style 5"/>
    <w:basedOn w:val="1"/>
    <w:qFormat/>
    <w:uiPriority w:val="0"/>
    <w:pPr>
      <w:ind w:firstLine="20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2020-09-21T08:51:00Z</dcterms:created>
  <dc:creator>羅-敏儿</dc:creator>
  <cp:lastModifiedBy>陈明</cp:lastModifiedBy>
  <dcterms:modified xsi:type="dcterms:W3CDTF">2020-11-03T02:42:33Z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