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600" w:lineRule="exact"/>
        <w:ind w:right="0" w:rightChars="0"/>
        <w:jc w:val="left"/>
        <w:textAlignment w:val="auto"/>
        <w:rPr>
          <w:rFonts w:hint="eastAsia" w:ascii="黑体" w:hAnsi="黑体" w:eastAsia="黑体" w:cs="黑体"/>
          <w:bCs/>
          <w:kern w:val="0"/>
          <w:lang w:val="en-US" w:eastAsia="zh-CN"/>
        </w:rPr>
      </w:pPr>
      <w:r>
        <w:rPr>
          <w:rFonts w:hint="eastAsia" w:ascii="黑体" w:hAnsi="黑体" w:eastAsia="黑体" w:cs="黑体"/>
          <w:bCs/>
          <w:kern w:val="0"/>
          <w:sz w:val="32"/>
          <w:szCs w:val="32"/>
        </w:rPr>
        <w:t>附件</w:t>
      </w:r>
      <w:r>
        <w:rPr>
          <w:rFonts w:hint="eastAsia" w:ascii="黑体" w:hAnsi="黑体" w:eastAsia="黑体" w:cs="黑体"/>
          <w:bCs/>
          <w:kern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rPr>
          <w:rFonts w:hint="eastAsia" w:ascii="方正小标宋简体" w:hAnsi="方正小标宋简体" w:eastAsia="方正小标宋简体" w:cs="方正小标宋简体"/>
          <w:sz w:val="44"/>
          <w:szCs w:val="44"/>
        </w:rPr>
      </w:pPr>
    </w:p>
    <w:p>
      <w:pPr>
        <w:pStyle w:val="8"/>
        <w:pageBreakBefore w:val="0"/>
        <w:numPr>
          <w:ilvl w:val="0"/>
          <w:numId w:val="0"/>
        </w:numPr>
        <w:kinsoku/>
        <w:wordWrap/>
        <w:overflowPunct/>
        <w:topLinePunct w:val="0"/>
        <w:autoSpaceDE/>
        <w:autoSpaceDN/>
        <w:bidi w:val="0"/>
        <w:spacing w:before="0" w:beforeAutospacing="0" w:after="0" w:afterAutospacing="0" w:line="600" w:lineRule="exact"/>
        <w:ind w:right="0" w:rightChars="0"/>
        <w:textAlignment w:val="auto"/>
        <w:rPr>
          <w:rFonts w:hint="eastAsia" w:ascii="方正小标宋简体" w:hAnsi="方正小标宋简体" w:eastAsia="方正小标宋简体" w:cs="方正小标宋简体"/>
          <w:sz w:val="44"/>
        </w:rPr>
      </w:pPr>
      <w:r>
        <w:rPr>
          <w:rFonts w:hint="eastAsia" w:ascii="方正小标宋简体" w:hAnsi="方正小标宋简体" w:eastAsia="方正小标宋简体" w:cs="方正小标宋简体"/>
          <w:bCs/>
          <w:color w:val="auto"/>
          <w:spacing w:val="-11"/>
          <w:kern w:val="44"/>
          <w:sz w:val="44"/>
          <w:shd w:val="clear" w:color="auto" w:fill="FFFFFF"/>
          <w:lang w:eastAsia="zh-CN"/>
        </w:rPr>
        <w:t>战略性支柱产业集群和战略性新兴产业集群</w:t>
      </w:r>
      <w:r>
        <w:rPr>
          <w:rFonts w:hint="eastAsia" w:ascii="方正小标宋简体" w:hAnsi="方正小标宋简体" w:eastAsia="方正小标宋简体" w:cs="方正小标宋简体"/>
          <w:color w:val="auto"/>
          <w:kern w:val="44"/>
          <w:sz w:val="44"/>
          <w:shd w:val="clear" w:color="auto" w:fill="FFFFFF"/>
          <w:lang w:eastAsia="zh-CN"/>
        </w:rPr>
        <w:t>知识产权高质量发展项目申报指南</w:t>
      </w:r>
    </w:p>
    <w:p>
      <w:pPr>
        <w:keepNext w:val="0"/>
        <w:keepLines w:val="0"/>
        <w:pageBreakBefore w:val="0"/>
        <w:widowControl w:val="0"/>
        <w:kinsoku/>
        <w:wordWrap/>
        <w:overflowPunct/>
        <w:topLinePunct w:val="0"/>
        <w:autoSpaceDE/>
        <w:autoSpaceDN/>
        <w:bidi w:val="0"/>
        <w:adjustRightInd/>
        <w:snapToGrid/>
        <w:spacing w:line="600" w:lineRule="exact"/>
        <w:ind w:right="0" w:rightChars="0"/>
        <w:textAlignment w:val="auto"/>
        <w:rPr>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rPr>
          <w:rFonts w:hint="eastAsia" w:eastAsia="黑体" w:cs="黑体"/>
          <w:sz w:val="32"/>
          <w:szCs w:val="32"/>
        </w:rPr>
      </w:pPr>
      <w:r>
        <w:rPr>
          <w:rFonts w:hint="eastAsia" w:eastAsia="黑体" w:cs="黑体"/>
          <w:sz w:val="32"/>
          <w:szCs w:val="32"/>
        </w:rPr>
        <w:t>一、项目名称</w:t>
      </w:r>
    </w:p>
    <w:p>
      <w:pPr>
        <w:keepNext w:val="0"/>
        <w:keepLines w:val="0"/>
        <w:pageBreakBefore w:val="0"/>
        <w:widowControl w:val="0"/>
        <w:kinsoku/>
        <w:wordWrap/>
        <w:overflowPunct/>
        <w:topLinePunct w:val="0"/>
        <w:autoSpaceDE/>
        <w:autoSpaceDN/>
        <w:bidi w:val="0"/>
        <w:spacing w:line="600" w:lineRule="exact"/>
        <w:ind w:right="0" w:rightChars="0" w:firstLine="640" w:firstLineChars="200"/>
        <w:textAlignment w:val="auto"/>
        <w:rPr>
          <w:sz w:val="32"/>
          <w:szCs w:val="32"/>
        </w:rPr>
      </w:pPr>
      <w:r>
        <w:rPr>
          <w:rFonts w:hint="eastAsia"/>
          <w:sz w:val="32"/>
          <w:szCs w:val="32"/>
        </w:rPr>
        <w:t>战略性支柱产业集群和</w:t>
      </w:r>
      <w:r>
        <w:rPr>
          <w:rFonts w:hint="eastAsia" w:cs="仿宋_GB2312"/>
          <w:sz w:val="32"/>
          <w:szCs w:val="32"/>
        </w:rPr>
        <w:t>战略性新兴产业集群知识产权高质量发展项目</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rPr>
          <w:rFonts w:hint="eastAsia" w:eastAsia="黑体" w:cs="黑体"/>
          <w:sz w:val="32"/>
          <w:szCs w:val="32"/>
        </w:rPr>
      </w:pPr>
      <w:r>
        <w:rPr>
          <w:rFonts w:hint="eastAsia" w:eastAsia="黑体" w:cs="黑体"/>
          <w:sz w:val="32"/>
          <w:szCs w:val="32"/>
        </w:rPr>
        <w:t>二、项目目标</w:t>
      </w:r>
    </w:p>
    <w:p>
      <w:pPr>
        <w:keepNext w:val="0"/>
        <w:keepLines w:val="0"/>
        <w:pageBreakBefore w:val="0"/>
        <w:widowControl w:val="0"/>
        <w:kinsoku/>
        <w:wordWrap/>
        <w:overflowPunct/>
        <w:topLinePunct w:val="0"/>
        <w:autoSpaceDE/>
        <w:autoSpaceDN/>
        <w:bidi w:val="0"/>
        <w:spacing w:line="600" w:lineRule="exact"/>
        <w:ind w:right="0" w:rightChars="0" w:firstLine="640" w:firstLineChars="200"/>
        <w:textAlignment w:val="auto"/>
        <w:rPr>
          <w:rFonts w:hint="eastAsia" w:cs="仿宋_GB2312"/>
          <w:sz w:val="32"/>
          <w:szCs w:val="32"/>
        </w:rPr>
      </w:pPr>
      <w:r>
        <w:rPr>
          <w:rFonts w:hint="eastAsia" w:cs="仿宋_GB2312"/>
          <w:sz w:val="32"/>
          <w:szCs w:val="32"/>
          <w:lang w:eastAsia="zh-CN"/>
        </w:rPr>
        <w:t>贯彻落实</w:t>
      </w:r>
      <w:r>
        <w:rPr>
          <w:rFonts w:hint="eastAsia"/>
          <w:sz w:val="32"/>
          <w:szCs w:val="32"/>
        </w:rPr>
        <w:t>省政府《关于培育发展战略性支柱产业集群和战略性新兴产业集群的意见》</w:t>
      </w:r>
      <w:r>
        <w:rPr>
          <w:rFonts w:hint="eastAsia"/>
          <w:sz w:val="32"/>
          <w:szCs w:val="32"/>
          <w:lang w:eastAsia="zh-CN"/>
        </w:rPr>
        <w:t>工作部署</w:t>
      </w:r>
      <w:r>
        <w:rPr>
          <w:rFonts w:hint="eastAsia" w:cs="仿宋_GB2312"/>
          <w:sz w:val="32"/>
          <w:szCs w:val="32"/>
        </w:rPr>
        <w:t>，组织企业、高校、科研机构</w:t>
      </w:r>
      <w:r>
        <w:rPr>
          <w:rFonts w:hint="eastAsia" w:cs="仿宋_GB2312"/>
          <w:sz w:val="32"/>
          <w:szCs w:val="32"/>
          <w:lang w:eastAsia="zh-CN"/>
        </w:rPr>
        <w:t>等</w:t>
      </w:r>
      <w:r>
        <w:rPr>
          <w:rFonts w:hint="eastAsia" w:cs="仿宋_GB2312"/>
          <w:sz w:val="32"/>
          <w:szCs w:val="32"/>
        </w:rPr>
        <w:t>联合知识产权服务机构，聚焦河源</w:t>
      </w:r>
      <w:r>
        <w:rPr>
          <w:rFonts w:hint="eastAsia" w:cs="仿宋_GB2312"/>
          <w:b/>
          <w:bCs/>
          <w:sz w:val="32"/>
          <w:szCs w:val="32"/>
        </w:rPr>
        <w:t>新一代电子信息产业</w:t>
      </w:r>
      <w:r>
        <w:rPr>
          <w:rFonts w:hint="eastAsia" w:cs="仿宋_GB2312"/>
          <w:b/>
          <w:bCs/>
          <w:sz w:val="32"/>
          <w:szCs w:val="32"/>
          <w:lang w:eastAsia="zh-CN"/>
        </w:rPr>
        <w:t>、生物医药与健康产业、现代农业与食品产业、前沿新材料产业</w:t>
      </w:r>
      <w:r>
        <w:rPr>
          <w:rFonts w:hint="eastAsia" w:cs="仿宋_GB2312"/>
          <w:sz w:val="32"/>
          <w:szCs w:val="32"/>
          <w:lang w:eastAsia="zh-CN"/>
        </w:rPr>
        <w:t>集群</w:t>
      </w:r>
      <w:r>
        <w:rPr>
          <w:rFonts w:hint="eastAsia" w:cs="仿宋_GB2312"/>
          <w:sz w:val="32"/>
          <w:szCs w:val="32"/>
        </w:rPr>
        <w:t>，从每个产业中选取关键、核心领域技术点，一产一策，</w:t>
      </w:r>
      <w:r>
        <w:rPr>
          <w:rFonts w:hint="eastAsia" w:ascii="仿宋_GB2312"/>
          <w:sz w:val="32"/>
          <w:szCs w:val="32"/>
        </w:rPr>
        <w:t>加快创新驱动发展</w:t>
      </w:r>
      <w:r>
        <w:rPr>
          <w:rFonts w:hint="eastAsia" w:cs="仿宋_GB2312"/>
          <w:sz w:val="32"/>
          <w:szCs w:val="32"/>
          <w:lang w:eastAsia="zh-CN"/>
        </w:rPr>
        <w:t>。</w:t>
      </w:r>
      <w:r>
        <w:rPr>
          <w:rFonts w:hint="eastAsia" w:cs="仿宋_GB2312"/>
          <w:sz w:val="32"/>
          <w:szCs w:val="32"/>
        </w:rPr>
        <w:t>主要内容包括开展高价值专利培育布局、产业专利导航、产业知识产权运营等工作。</w:t>
      </w:r>
    </w:p>
    <w:p>
      <w:pPr>
        <w:keepNext w:val="0"/>
        <w:keepLines w:val="0"/>
        <w:pageBreakBefore w:val="0"/>
        <w:widowControl w:val="0"/>
        <w:numPr>
          <w:ilvl w:val="0"/>
          <w:numId w:val="2"/>
        </w:numPr>
        <w:kinsoku/>
        <w:wordWrap/>
        <w:overflowPunct/>
        <w:topLinePunct w:val="0"/>
        <w:autoSpaceDE/>
        <w:autoSpaceDN/>
        <w:bidi w:val="0"/>
        <w:spacing w:line="600" w:lineRule="exact"/>
        <w:ind w:right="0" w:rightChars="0" w:firstLine="640" w:firstLineChars="200"/>
        <w:textAlignment w:val="auto"/>
        <w:rPr>
          <w:rFonts w:hint="eastAsia" w:eastAsia="黑体" w:cs="黑体"/>
          <w:sz w:val="32"/>
          <w:szCs w:val="32"/>
          <w:lang w:eastAsia="zh-CN"/>
        </w:rPr>
      </w:pPr>
      <w:r>
        <w:rPr>
          <w:rFonts w:hint="eastAsia" w:eastAsia="黑体" w:cs="黑体"/>
          <w:sz w:val="32"/>
          <w:szCs w:val="32"/>
          <w:lang w:eastAsia="zh-CN"/>
        </w:rPr>
        <w:t>项目任务</w:t>
      </w:r>
    </w:p>
    <w:p>
      <w:pPr>
        <w:pageBreakBefore w:val="0"/>
        <w:kinsoku/>
        <w:wordWrap/>
        <w:overflowPunct/>
        <w:topLinePunct w:val="0"/>
        <w:autoSpaceDE w:val="0"/>
        <w:autoSpaceDN w:val="0"/>
        <w:bidi w:val="0"/>
        <w:spacing w:line="600" w:lineRule="exact"/>
        <w:ind w:right="0" w:rightChars="0" w:firstLine="643"/>
        <w:textAlignment w:val="auto"/>
        <w:rPr>
          <w:sz w:val="32"/>
          <w:szCs w:val="32"/>
        </w:rPr>
      </w:pPr>
      <w:r>
        <w:rPr>
          <w:rFonts w:hint="eastAsia"/>
          <w:sz w:val="32"/>
          <w:szCs w:val="32"/>
          <w:lang w:eastAsia="zh-CN"/>
        </w:rPr>
        <w:t>（一）</w:t>
      </w:r>
      <w:r>
        <w:rPr>
          <w:rFonts w:hint="eastAsia"/>
          <w:sz w:val="32"/>
          <w:szCs w:val="32"/>
        </w:rPr>
        <w:t>建立完善专利管理及权益分配机制，强化专利评价导向。建立健全专利全过程管理体系，建立优化专利分级分类管理机制、知识产权权益分配机制；强化创新工作的专利评价导向，将发明专利申请和授权、PCT专利申请等产出情况纳入核心评价指标，促进专利与</w:t>
      </w:r>
      <w:r>
        <w:rPr>
          <w:rFonts w:hint="eastAsia"/>
          <w:sz w:val="32"/>
          <w:szCs w:val="32"/>
          <w:lang w:eastAsia="zh-CN"/>
        </w:rPr>
        <w:t>产业</w:t>
      </w:r>
      <w:r>
        <w:rPr>
          <w:rFonts w:hint="eastAsia"/>
          <w:sz w:val="32"/>
          <w:szCs w:val="32"/>
        </w:rPr>
        <w:t>发展紧密融合。</w:t>
      </w:r>
    </w:p>
    <w:p>
      <w:pPr>
        <w:pageBreakBefore w:val="0"/>
        <w:kinsoku/>
        <w:wordWrap/>
        <w:overflowPunct/>
        <w:topLinePunct w:val="0"/>
        <w:autoSpaceDE w:val="0"/>
        <w:autoSpaceDN w:val="0"/>
        <w:bidi w:val="0"/>
        <w:spacing w:line="600" w:lineRule="exact"/>
        <w:ind w:right="0" w:rightChars="0" w:firstLine="624"/>
        <w:textAlignment w:val="auto"/>
        <w:rPr>
          <w:sz w:val="32"/>
          <w:szCs w:val="32"/>
        </w:rPr>
      </w:pPr>
      <w:r>
        <w:rPr>
          <w:rFonts w:hint="eastAsia"/>
          <w:sz w:val="32"/>
          <w:szCs w:val="32"/>
          <w:lang w:eastAsia="zh-CN"/>
        </w:rPr>
        <w:t>（二）</w:t>
      </w:r>
      <w:r>
        <w:rPr>
          <w:rFonts w:hint="eastAsia"/>
          <w:sz w:val="32"/>
          <w:szCs w:val="32"/>
        </w:rPr>
        <w:t>开展专利信息检索分析，服务研发及专利布局。</w:t>
      </w:r>
      <w:r>
        <w:rPr>
          <w:sz w:val="32"/>
          <w:szCs w:val="32"/>
        </w:rPr>
        <w:t>充分利用专利信息，深度开展专利技术检索分析，分析技术发展路线，指导技术研发及发明专利布局，将专利信息利用融入技术研发过程，利用专利信息提高技术创新的效率与水平。</w:t>
      </w:r>
    </w:p>
    <w:p>
      <w:pPr>
        <w:pageBreakBefore w:val="0"/>
        <w:kinsoku/>
        <w:wordWrap/>
        <w:overflowPunct/>
        <w:topLinePunct w:val="0"/>
        <w:autoSpaceDE w:val="0"/>
        <w:autoSpaceDN w:val="0"/>
        <w:bidi w:val="0"/>
        <w:spacing w:line="600" w:lineRule="exact"/>
        <w:ind w:right="0" w:rightChars="0" w:firstLine="624"/>
        <w:textAlignment w:val="auto"/>
        <w:rPr>
          <w:sz w:val="32"/>
          <w:szCs w:val="32"/>
        </w:rPr>
      </w:pPr>
      <w:r>
        <w:rPr>
          <w:rFonts w:hint="eastAsia"/>
          <w:sz w:val="32"/>
          <w:szCs w:val="32"/>
          <w:lang w:eastAsia="zh-CN"/>
        </w:rPr>
        <w:t>（三）</w:t>
      </w:r>
      <w:r>
        <w:rPr>
          <w:rFonts w:hint="eastAsia"/>
          <w:sz w:val="32"/>
          <w:szCs w:val="32"/>
        </w:rPr>
        <w:t>建立健全与知识产权专业服务机构对接合作机制</w:t>
      </w:r>
      <w:r>
        <w:rPr>
          <w:rFonts w:hint="eastAsia"/>
          <w:sz w:val="32"/>
          <w:szCs w:val="32"/>
          <w:lang w:eastAsia="zh-CN"/>
        </w:rPr>
        <w:t>，</w:t>
      </w:r>
      <w:r>
        <w:rPr>
          <w:rFonts w:hint="eastAsia"/>
          <w:sz w:val="32"/>
          <w:szCs w:val="32"/>
        </w:rPr>
        <w:t>充分利用专业服务机构，助推提高创新成果专利化效率，切实提升专利申请文件撰写质量，提高专利布局水平。</w:t>
      </w:r>
    </w:p>
    <w:p>
      <w:pPr>
        <w:pageBreakBefore w:val="0"/>
        <w:kinsoku/>
        <w:wordWrap/>
        <w:overflowPunct/>
        <w:topLinePunct w:val="0"/>
        <w:autoSpaceDE w:val="0"/>
        <w:autoSpaceDN w:val="0"/>
        <w:bidi w:val="0"/>
        <w:spacing w:line="600" w:lineRule="exact"/>
        <w:ind w:right="0" w:rightChars="0" w:firstLine="640"/>
        <w:textAlignment w:val="auto"/>
        <w:rPr>
          <w:rFonts w:hint="eastAsia"/>
          <w:sz w:val="32"/>
          <w:szCs w:val="32"/>
        </w:rPr>
      </w:pPr>
      <w:r>
        <w:rPr>
          <w:rFonts w:hint="eastAsia"/>
          <w:sz w:val="32"/>
          <w:szCs w:val="32"/>
          <w:lang w:eastAsia="zh-CN"/>
        </w:rPr>
        <w:t>（四）</w:t>
      </w:r>
      <w:r>
        <w:rPr>
          <w:rFonts w:hint="eastAsia"/>
          <w:sz w:val="32"/>
          <w:szCs w:val="32"/>
        </w:rPr>
        <w:t>培育产出若干高质量发明专利，发明专利申请持续增长。在提升专利制度运用水平基础上，发挥自身技术创新优势，在我</w:t>
      </w:r>
      <w:r>
        <w:rPr>
          <w:rFonts w:hint="eastAsia"/>
          <w:sz w:val="32"/>
          <w:szCs w:val="32"/>
          <w:lang w:eastAsia="zh-CN"/>
        </w:rPr>
        <w:t>市</w:t>
      </w:r>
      <w:r>
        <w:rPr>
          <w:rFonts w:hint="eastAsia"/>
          <w:sz w:val="32"/>
          <w:szCs w:val="32"/>
        </w:rPr>
        <w:t>重点产业领域或技术方向，培育产出若干高质量的发明专利申请，形成产业技术专利组合。在项目实施期间，</w:t>
      </w:r>
      <w:r>
        <w:rPr>
          <w:rFonts w:hint="eastAsia"/>
          <w:sz w:val="32"/>
          <w:szCs w:val="32"/>
          <w:lang w:eastAsia="zh-CN"/>
        </w:rPr>
        <w:t>申报单位的</w:t>
      </w:r>
      <w:r>
        <w:rPr>
          <w:rFonts w:hint="eastAsia"/>
          <w:sz w:val="32"/>
          <w:szCs w:val="32"/>
        </w:rPr>
        <w:t>年度发明专利申请量增长率不低于1</w:t>
      </w:r>
      <w:r>
        <w:rPr>
          <w:rFonts w:hint="eastAsia"/>
          <w:sz w:val="32"/>
          <w:szCs w:val="32"/>
          <w:lang w:val="en-US" w:eastAsia="zh-CN"/>
        </w:rPr>
        <w:t>5</w:t>
      </w:r>
      <w:r>
        <w:rPr>
          <w:rFonts w:hint="eastAsia"/>
          <w:sz w:val="32"/>
          <w:szCs w:val="32"/>
        </w:rPr>
        <w:t>%。</w:t>
      </w:r>
    </w:p>
    <w:p>
      <w:pPr>
        <w:pageBreakBefore w:val="0"/>
        <w:kinsoku/>
        <w:wordWrap/>
        <w:overflowPunct/>
        <w:topLinePunct w:val="0"/>
        <w:autoSpaceDE w:val="0"/>
        <w:autoSpaceDN w:val="0"/>
        <w:bidi w:val="0"/>
        <w:spacing w:line="600" w:lineRule="exact"/>
        <w:ind w:right="0" w:rightChars="0" w:firstLine="640"/>
        <w:textAlignment w:val="auto"/>
        <w:rPr>
          <w:rFonts w:hint="eastAsia" w:cs="仿宋_GB2312"/>
          <w:sz w:val="32"/>
          <w:szCs w:val="32"/>
        </w:rPr>
      </w:pPr>
      <w:r>
        <w:rPr>
          <w:rFonts w:hint="eastAsia" w:cs="仿宋_GB2312"/>
          <w:sz w:val="32"/>
          <w:szCs w:val="32"/>
          <w:lang w:val="en-US" w:eastAsia="zh-CN"/>
        </w:rPr>
        <w:t>（五）</w:t>
      </w:r>
      <w:r>
        <w:rPr>
          <w:rFonts w:hint="eastAsia" w:cs="仿宋_GB2312"/>
          <w:sz w:val="32"/>
          <w:szCs w:val="32"/>
        </w:rPr>
        <w:t>建立战略性支柱产业和战略性新兴产业专利信息数据库</w:t>
      </w:r>
      <w:r>
        <w:rPr>
          <w:rFonts w:hint="eastAsia" w:cs="仿宋_GB2312"/>
          <w:sz w:val="32"/>
          <w:szCs w:val="32"/>
          <w:lang w:eastAsia="zh-CN"/>
        </w:rPr>
        <w:t>（至少</w:t>
      </w:r>
      <w:r>
        <w:rPr>
          <w:rFonts w:hint="eastAsia" w:cs="仿宋_GB2312"/>
          <w:sz w:val="32"/>
          <w:szCs w:val="32"/>
          <w:lang w:val="en-US" w:eastAsia="zh-CN"/>
        </w:rPr>
        <w:t>1个</w:t>
      </w:r>
      <w:r>
        <w:rPr>
          <w:rFonts w:hint="eastAsia" w:cs="仿宋_GB2312"/>
          <w:sz w:val="32"/>
          <w:szCs w:val="32"/>
          <w:lang w:eastAsia="zh-CN"/>
        </w:rPr>
        <w:t>）</w:t>
      </w:r>
      <w:r>
        <w:rPr>
          <w:rFonts w:hint="eastAsia" w:cs="仿宋_GB2312"/>
          <w:sz w:val="32"/>
          <w:szCs w:val="32"/>
        </w:rPr>
        <w:t>，开展产业高质量发展专利导航分析。利用权威的数据源，采集、梳理产业专利信息并建立专利数据库；针对产业特点和高质量发展需求，深度开展专利导航分析，以专利导航分析为主体，辅助开展产业市场分析及产业内重点企业调查分析，形成专利导航研究报告，利用专利分析开展产业专利布局、发展方向与创新路径导航，基于专利导航而提出具体、明确、可行的推动产业高质量发展的策略建议和产业专利布局发展规划。</w:t>
      </w:r>
    </w:p>
    <w:p>
      <w:pPr>
        <w:pageBreakBefore w:val="0"/>
        <w:kinsoku/>
        <w:wordWrap/>
        <w:overflowPunct/>
        <w:topLinePunct w:val="0"/>
        <w:autoSpaceDE w:val="0"/>
        <w:autoSpaceDN w:val="0"/>
        <w:bidi w:val="0"/>
        <w:adjustRightInd w:val="0"/>
        <w:snapToGrid w:val="0"/>
        <w:spacing w:line="600" w:lineRule="exact"/>
        <w:ind w:right="0" w:rightChars="0" w:firstLine="640" w:firstLineChars="200"/>
        <w:jc w:val="both"/>
        <w:textAlignment w:val="auto"/>
        <w:rPr>
          <w:rFonts w:hint="eastAsia" w:cs="仿宋_GB2312"/>
          <w:sz w:val="32"/>
          <w:szCs w:val="32"/>
        </w:rPr>
      </w:pPr>
      <w:r>
        <w:rPr>
          <w:rFonts w:hint="eastAsia" w:cs="仿宋_GB2312"/>
          <w:sz w:val="32"/>
          <w:szCs w:val="32"/>
          <w:lang w:eastAsia="zh-CN"/>
        </w:rPr>
        <w:t>（六）</w:t>
      </w:r>
      <w:r>
        <w:rPr>
          <w:rFonts w:hint="eastAsia" w:cs="仿宋_GB2312"/>
          <w:sz w:val="32"/>
          <w:szCs w:val="32"/>
        </w:rPr>
        <w:t>通过发布会等方式研讨及运用专利导航项目成果。面向产业相关部门及企事业单位，组织开展系列专利导航成果发布会或研讨活动</w:t>
      </w:r>
      <w:r>
        <w:rPr>
          <w:rFonts w:hint="eastAsia" w:cs="仿宋_GB2312"/>
          <w:sz w:val="32"/>
          <w:szCs w:val="32"/>
          <w:lang w:eastAsia="zh-CN"/>
        </w:rPr>
        <w:t>（</w:t>
      </w:r>
      <w:r>
        <w:rPr>
          <w:rFonts w:hint="eastAsia" w:cs="仿宋_GB2312"/>
          <w:sz w:val="32"/>
          <w:szCs w:val="32"/>
          <w:lang w:val="en-US" w:eastAsia="zh-CN"/>
        </w:rPr>
        <w:t>至少2次</w:t>
      </w:r>
      <w:r>
        <w:rPr>
          <w:rFonts w:hint="eastAsia" w:cs="仿宋_GB2312"/>
          <w:sz w:val="32"/>
          <w:szCs w:val="32"/>
          <w:lang w:eastAsia="zh-CN"/>
        </w:rPr>
        <w:t>）</w:t>
      </w:r>
      <w:r>
        <w:rPr>
          <w:rFonts w:hint="eastAsia" w:cs="仿宋_GB2312"/>
          <w:sz w:val="32"/>
          <w:szCs w:val="32"/>
        </w:rPr>
        <w:t>，引导产业高质量发展；积极运用导航项目成果支撑产业高质量发展及专利布局规划决策，提升决策科学性。</w:t>
      </w:r>
    </w:p>
    <w:p>
      <w:pPr>
        <w:pageBreakBefore w:val="0"/>
        <w:kinsoku/>
        <w:wordWrap/>
        <w:overflowPunct/>
        <w:topLinePunct w:val="0"/>
        <w:autoSpaceDE w:val="0"/>
        <w:autoSpaceDN w:val="0"/>
        <w:bidi w:val="0"/>
        <w:adjustRightInd w:val="0"/>
        <w:snapToGrid w:val="0"/>
        <w:spacing w:line="600" w:lineRule="exact"/>
        <w:ind w:right="0" w:rightChars="0" w:firstLine="640" w:firstLineChars="200"/>
        <w:jc w:val="both"/>
        <w:textAlignment w:val="auto"/>
        <w:rPr>
          <w:rFonts w:hint="eastAsia" w:cs="仿宋_GB2312"/>
          <w:sz w:val="32"/>
          <w:szCs w:val="32"/>
        </w:rPr>
      </w:pPr>
      <w:r>
        <w:rPr>
          <w:rFonts w:hint="eastAsia" w:cs="仿宋_GB2312"/>
          <w:sz w:val="32"/>
          <w:szCs w:val="32"/>
          <w:lang w:eastAsia="zh-CN"/>
        </w:rPr>
        <w:t>（七）</w:t>
      </w:r>
      <w:r>
        <w:rPr>
          <w:rFonts w:hint="eastAsia" w:cs="仿宋_GB2312"/>
          <w:sz w:val="32"/>
          <w:szCs w:val="32"/>
        </w:rPr>
        <w:t>引导企业加强专利协同创新及运营。基于专利导航项目实施，梳理整合产业的专利资产及创新资源，引导创新主体构筑或建设完善产业专利池，推动企业开展协同创新及专利高端运用。聚焦产业若干重点领域，瞄准若干重点企业，提出促进企业高质量发展的具体可行的对策建议。</w:t>
      </w:r>
    </w:p>
    <w:p>
      <w:pPr>
        <w:keepNext w:val="0"/>
        <w:keepLines w:val="0"/>
        <w:pageBreakBefore w:val="0"/>
        <w:widowControl w:val="0"/>
        <w:numPr>
          <w:ilvl w:val="0"/>
          <w:numId w:val="0"/>
        </w:numPr>
        <w:kinsoku/>
        <w:wordWrap/>
        <w:overflowPunct/>
        <w:topLinePunct w:val="0"/>
        <w:autoSpaceDE/>
        <w:autoSpaceDN/>
        <w:bidi w:val="0"/>
        <w:spacing w:line="600" w:lineRule="exact"/>
        <w:ind w:right="0" w:rightChars="0" w:firstLine="640" w:firstLineChars="200"/>
        <w:textAlignment w:val="auto"/>
        <w:rPr>
          <w:rFonts w:hint="eastAsia" w:ascii="黑体" w:hAnsi="黑体" w:eastAsia="黑体" w:cs="黑体"/>
          <w:sz w:val="32"/>
          <w:szCs w:val="32"/>
          <w:lang w:eastAsia="zh-CN"/>
        </w:rPr>
      </w:pPr>
      <w:r>
        <w:rPr>
          <w:rFonts w:hint="eastAsia" w:eastAsia="黑体" w:cs="黑体"/>
          <w:sz w:val="32"/>
          <w:szCs w:val="32"/>
          <w:lang w:eastAsia="zh-CN"/>
        </w:rPr>
        <w:t>四</w:t>
      </w:r>
      <w:r>
        <w:rPr>
          <w:rFonts w:hint="eastAsia" w:eastAsia="黑体" w:cs="黑体"/>
          <w:sz w:val="32"/>
          <w:szCs w:val="32"/>
        </w:rPr>
        <w:t>、</w:t>
      </w:r>
      <w:r>
        <w:rPr>
          <w:rFonts w:hint="eastAsia" w:eastAsia="黑体" w:cs="黑体"/>
          <w:sz w:val="32"/>
          <w:szCs w:val="32"/>
          <w:lang w:eastAsia="zh-CN"/>
        </w:rPr>
        <w:t>申报</w:t>
      </w:r>
      <w:bookmarkStart w:id="0" w:name="_GoBack"/>
      <w:bookmarkEnd w:id="0"/>
      <w:r>
        <w:rPr>
          <w:rFonts w:hint="eastAsia" w:eastAsia="黑体" w:cs="黑体"/>
          <w:sz w:val="32"/>
          <w:szCs w:val="32"/>
          <w:lang w:eastAsia="zh-CN"/>
        </w:rPr>
        <w:t>主体</w:t>
      </w:r>
      <w:r>
        <w:rPr>
          <w:rFonts w:hint="eastAsia" w:eastAsia="黑体" w:cs="黑体"/>
          <w:sz w:val="32"/>
          <w:szCs w:val="32"/>
        </w:rPr>
        <w:t>及</w:t>
      </w:r>
      <w:r>
        <w:rPr>
          <w:rFonts w:hint="eastAsia" w:eastAsia="黑体" w:cs="黑体"/>
          <w:sz w:val="32"/>
          <w:szCs w:val="32"/>
          <w:lang w:eastAsia="zh-CN"/>
        </w:rPr>
        <w:t>条件</w:t>
      </w:r>
    </w:p>
    <w:p>
      <w:pPr>
        <w:keepNext w:val="0"/>
        <w:keepLines w:val="0"/>
        <w:pageBreakBefore w:val="0"/>
        <w:widowControl w:val="0"/>
        <w:kinsoku/>
        <w:wordWrap/>
        <w:overflowPunct/>
        <w:topLinePunct w:val="0"/>
        <w:autoSpaceDE/>
        <w:autoSpaceDN/>
        <w:bidi w:val="0"/>
        <w:spacing w:line="600" w:lineRule="exact"/>
        <w:ind w:right="0" w:rightChars="0" w:firstLine="640" w:firstLineChars="200"/>
        <w:textAlignment w:val="auto"/>
        <w:rPr>
          <w:rFonts w:hint="eastAsia" w:cs="仿宋_GB2312"/>
          <w:sz w:val="32"/>
          <w:szCs w:val="32"/>
        </w:rPr>
      </w:pPr>
      <w:r>
        <w:rPr>
          <w:rFonts w:hint="eastAsia" w:ascii="楷体_GB2312" w:hAnsi="楷体_GB2312" w:eastAsia="楷体_GB2312" w:cs="楷体_GB2312"/>
          <w:sz w:val="32"/>
          <w:szCs w:val="32"/>
        </w:rPr>
        <w:t>（一）申报主体：</w:t>
      </w:r>
      <w:r>
        <w:rPr>
          <w:rFonts w:hint="eastAsia" w:cs="仿宋_GB2312"/>
          <w:sz w:val="32"/>
          <w:szCs w:val="32"/>
        </w:rPr>
        <w:t>河源市内</w:t>
      </w:r>
      <w:r>
        <w:rPr>
          <w:rFonts w:hint="eastAsia" w:cs="仿宋_GB2312"/>
          <w:sz w:val="32"/>
          <w:szCs w:val="32"/>
          <w:lang w:eastAsia="zh-CN"/>
        </w:rPr>
        <w:t>注册</w:t>
      </w:r>
      <w:r>
        <w:rPr>
          <w:rFonts w:hint="eastAsia" w:cs="仿宋_GB2312"/>
          <w:sz w:val="32"/>
          <w:szCs w:val="32"/>
        </w:rPr>
        <w:t>的企业、高校、科研机构</w:t>
      </w:r>
      <w:r>
        <w:rPr>
          <w:rFonts w:hint="eastAsia" w:cs="仿宋_GB2312"/>
          <w:sz w:val="32"/>
          <w:szCs w:val="32"/>
          <w:lang w:eastAsia="zh-CN"/>
        </w:rPr>
        <w:t>牵头，</w:t>
      </w:r>
      <w:r>
        <w:rPr>
          <w:rFonts w:hint="eastAsia" w:cs="仿宋_GB2312"/>
          <w:sz w:val="32"/>
          <w:szCs w:val="32"/>
        </w:rPr>
        <w:t>联合知识产权服务机构共同申报。</w:t>
      </w:r>
      <w:r>
        <w:rPr>
          <w:rFonts w:hint="eastAsia"/>
          <w:sz w:val="32"/>
          <w:szCs w:val="32"/>
        </w:rPr>
        <w:t>牵头单位已经承担</w:t>
      </w:r>
      <w:r>
        <w:rPr>
          <w:rFonts w:hint="eastAsia"/>
          <w:sz w:val="32"/>
          <w:szCs w:val="32"/>
          <w:lang w:eastAsia="zh-CN"/>
        </w:rPr>
        <w:t>省、市</w:t>
      </w:r>
      <w:r>
        <w:rPr>
          <w:rFonts w:hint="eastAsia"/>
          <w:sz w:val="32"/>
          <w:szCs w:val="32"/>
        </w:rPr>
        <w:t>局高价值专利培育</w:t>
      </w:r>
      <w:r>
        <w:rPr>
          <w:rFonts w:hint="eastAsia"/>
          <w:sz w:val="32"/>
          <w:szCs w:val="32"/>
          <w:lang w:eastAsia="zh-CN"/>
        </w:rPr>
        <w:t>、</w:t>
      </w:r>
      <w:r>
        <w:rPr>
          <w:rFonts w:hint="eastAsia" w:cs="仿宋_GB2312"/>
          <w:sz w:val="32"/>
          <w:szCs w:val="32"/>
        </w:rPr>
        <w:t>产业</w:t>
      </w:r>
      <w:r>
        <w:rPr>
          <w:rFonts w:hint="eastAsia"/>
          <w:sz w:val="32"/>
          <w:szCs w:val="32"/>
          <w:lang w:eastAsia="zh-CN"/>
        </w:rPr>
        <w:t>专利导航</w:t>
      </w:r>
      <w:r>
        <w:rPr>
          <w:rFonts w:hint="eastAsia"/>
          <w:sz w:val="32"/>
          <w:szCs w:val="32"/>
        </w:rPr>
        <w:t>项目且尚未验收或验收不合格的，不得申报。</w:t>
      </w:r>
    </w:p>
    <w:p>
      <w:pPr>
        <w:keepNext w:val="0"/>
        <w:keepLines w:val="0"/>
        <w:pageBreakBefore w:val="0"/>
        <w:widowControl w:val="0"/>
        <w:kinsoku/>
        <w:wordWrap/>
        <w:overflowPunct/>
        <w:topLinePunct w:val="0"/>
        <w:autoSpaceDE/>
        <w:autoSpaceDN/>
        <w:bidi w:val="0"/>
        <w:spacing w:line="600" w:lineRule="exact"/>
        <w:ind w:left="640" w:leftChars="200" w:right="0" w:rightChars="0" w:firstLine="0" w:firstLineChars="0"/>
        <w:textAlignment w:val="auto"/>
        <w:rPr>
          <w:rFonts w:ascii="楷体_GB2312" w:hAnsi="楷体_GB2312" w:eastAsia="楷体_GB2312" w:cs="楷体_GB2312"/>
          <w:sz w:val="32"/>
          <w:szCs w:val="32"/>
        </w:rPr>
      </w:pPr>
      <w:r>
        <w:rPr>
          <w:rFonts w:ascii="楷体_GB2312" w:hAnsi="楷体_GB2312" w:eastAsia="楷体_GB2312" w:cs="楷体_GB2312"/>
          <w:sz w:val="32"/>
          <w:szCs w:val="32"/>
        </w:rPr>
        <w:t>（二）申报条件：</w:t>
      </w:r>
    </w:p>
    <w:p>
      <w:pPr>
        <w:pageBreakBefore w:val="0"/>
        <w:kinsoku/>
        <w:wordWrap/>
        <w:overflowPunct/>
        <w:topLinePunct w:val="0"/>
        <w:bidi w:val="0"/>
        <w:spacing w:line="600" w:lineRule="exact"/>
        <w:ind w:right="0" w:rightChars="0" w:firstLine="640" w:firstLineChars="200"/>
        <w:textAlignment w:val="auto"/>
        <w:rPr>
          <w:color w:val="auto"/>
          <w:sz w:val="32"/>
          <w:szCs w:val="32"/>
        </w:rPr>
      </w:pPr>
      <w:r>
        <w:rPr>
          <w:rFonts w:hint="eastAsia" w:cs="仿宋_GB2312"/>
          <w:color w:val="auto"/>
          <w:sz w:val="32"/>
          <w:szCs w:val="32"/>
        </w:rPr>
        <w:t xml:space="preserve">1. </w:t>
      </w:r>
      <w:r>
        <w:rPr>
          <w:rFonts w:hint="eastAsia"/>
          <w:color w:val="auto"/>
          <w:sz w:val="32"/>
          <w:szCs w:val="32"/>
        </w:rPr>
        <w:t>牵头单位</w:t>
      </w:r>
      <w:r>
        <w:rPr>
          <w:rFonts w:hint="eastAsia"/>
          <w:color w:val="auto"/>
          <w:sz w:val="32"/>
          <w:szCs w:val="32"/>
          <w:lang w:eastAsia="zh-CN"/>
        </w:rPr>
        <w:t>是</w:t>
      </w:r>
      <w:r>
        <w:rPr>
          <w:rFonts w:hint="eastAsia"/>
          <w:color w:val="auto"/>
          <w:sz w:val="32"/>
          <w:szCs w:val="32"/>
        </w:rPr>
        <w:t>已认定为国家级或省级新兴产业创新中心、制造业创新中心、技术创新中心、产学研协同创新中心、工程技术研究中心、工程实验室、重点实验室、省级企业技术中心等（</w:t>
      </w:r>
      <w:r>
        <w:rPr>
          <w:rFonts w:hint="eastAsia"/>
          <w:color w:val="auto"/>
          <w:sz w:val="32"/>
          <w:szCs w:val="32"/>
          <w:lang w:eastAsia="zh-CN"/>
        </w:rPr>
        <w:t>需</w:t>
      </w:r>
      <w:r>
        <w:rPr>
          <w:rFonts w:hint="eastAsia" w:ascii="仿宋_GB2312"/>
          <w:color w:val="auto"/>
          <w:sz w:val="32"/>
          <w:szCs w:val="32"/>
        </w:rPr>
        <w:t>经国家相关部委或省级厅局认定</w:t>
      </w:r>
      <w:r>
        <w:rPr>
          <w:rFonts w:hint="eastAsia" w:ascii="仿宋_GB2312"/>
          <w:color w:val="auto"/>
          <w:sz w:val="32"/>
          <w:szCs w:val="32"/>
          <w:lang w:eastAsia="zh-CN"/>
        </w:rPr>
        <w:t>）的优先</w:t>
      </w:r>
      <w:r>
        <w:rPr>
          <w:rFonts w:hint="eastAsia" w:ascii="仿宋_GB2312"/>
          <w:color w:val="auto"/>
          <w:sz w:val="32"/>
          <w:szCs w:val="32"/>
        </w:rPr>
        <w:t>。</w:t>
      </w:r>
    </w:p>
    <w:p>
      <w:pPr>
        <w:pageBreakBefore w:val="0"/>
        <w:kinsoku/>
        <w:wordWrap/>
        <w:overflowPunct/>
        <w:topLinePunct w:val="0"/>
        <w:autoSpaceDE w:val="0"/>
        <w:autoSpaceDN w:val="0"/>
        <w:bidi w:val="0"/>
        <w:adjustRightInd w:val="0"/>
        <w:snapToGrid w:val="0"/>
        <w:spacing w:line="600" w:lineRule="exact"/>
        <w:ind w:right="0" w:rightChars="0" w:firstLine="640" w:firstLineChars="200"/>
        <w:jc w:val="both"/>
        <w:textAlignment w:val="auto"/>
        <w:rPr>
          <w:rFonts w:hint="eastAsia" w:cs="仿宋_GB2312"/>
          <w:sz w:val="32"/>
          <w:szCs w:val="32"/>
        </w:rPr>
      </w:pPr>
      <w:r>
        <w:rPr>
          <w:rFonts w:hint="eastAsia" w:cs="仿宋_GB2312"/>
          <w:sz w:val="32"/>
          <w:szCs w:val="32"/>
        </w:rPr>
        <w:t xml:space="preserve">2. </w:t>
      </w:r>
      <w:r>
        <w:rPr>
          <w:rFonts w:hint="eastAsia"/>
          <w:sz w:val="32"/>
          <w:szCs w:val="32"/>
          <w:lang w:eastAsia="zh-CN"/>
        </w:rPr>
        <w:t>申报</w:t>
      </w:r>
      <w:r>
        <w:rPr>
          <w:rFonts w:hint="eastAsia"/>
          <w:sz w:val="32"/>
          <w:szCs w:val="32"/>
        </w:rPr>
        <w:t>单位必须围绕《广东省人民政府关于培育发展战略性支柱产业集群和战略性新兴产业集群的意见》（</w:t>
      </w:r>
      <w:r>
        <w:rPr>
          <w:sz w:val="32"/>
          <w:szCs w:val="32"/>
        </w:rPr>
        <w:t>粤府</w:t>
      </w:r>
      <w:r>
        <w:rPr>
          <w:rFonts w:hint="eastAsia"/>
          <w:sz w:val="32"/>
          <w:szCs w:val="32"/>
        </w:rPr>
        <w:t>函</w:t>
      </w:r>
      <w:r>
        <w:rPr>
          <w:sz w:val="32"/>
          <w:szCs w:val="32"/>
        </w:rPr>
        <w:t>〔20</w:t>
      </w:r>
      <w:r>
        <w:rPr>
          <w:rFonts w:hint="eastAsia"/>
          <w:sz w:val="32"/>
          <w:szCs w:val="32"/>
        </w:rPr>
        <w:t>20</w:t>
      </w:r>
      <w:r>
        <w:rPr>
          <w:sz w:val="32"/>
          <w:szCs w:val="32"/>
        </w:rPr>
        <w:t>〕</w:t>
      </w:r>
      <w:r>
        <w:rPr>
          <w:rFonts w:hint="eastAsia"/>
          <w:sz w:val="32"/>
          <w:szCs w:val="32"/>
        </w:rPr>
        <w:t>82</w:t>
      </w:r>
      <w:r>
        <w:rPr>
          <w:sz w:val="32"/>
          <w:szCs w:val="32"/>
        </w:rPr>
        <w:t>号</w:t>
      </w:r>
      <w:r>
        <w:rPr>
          <w:rFonts w:hint="eastAsia"/>
          <w:sz w:val="32"/>
          <w:szCs w:val="32"/>
        </w:rPr>
        <w:t>）中提出的战略性支柱产业集群和战略性新兴产业集群，从</w:t>
      </w:r>
      <w:r>
        <w:rPr>
          <w:rFonts w:hint="eastAsia"/>
          <w:sz w:val="32"/>
          <w:szCs w:val="32"/>
          <w:lang w:eastAsia="zh-CN"/>
        </w:rPr>
        <w:t>符合区域发展需求的</w:t>
      </w:r>
      <w:r>
        <w:rPr>
          <w:rFonts w:hint="eastAsia"/>
          <w:sz w:val="32"/>
          <w:szCs w:val="32"/>
        </w:rPr>
        <w:t>产业集群中选取某一细分技术领域，开展</w:t>
      </w:r>
      <w:r>
        <w:rPr>
          <w:rFonts w:hint="eastAsia"/>
          <w:sz w:val="32"/>
          <w:szCs w:val="32"/>
          <w:lang w:eastAsia="zh-CN"/>
        </w:rPr>
        <w:t>项目工作</w:t>
      </w:r>
      <w:r>
        <w:rPr>
          <w:rFonts w:hint="eastAsia"/>
          <w:sz w:val="32"/>
          <w:szCs w:val="32"/>
        </w:rPr>
        <w:t>。</w:t>
      </w:r>
      <w:r>
        <w:rPr>
          <w:rFonts w:hint="eastAsia" w:cs="仿宋_GB2312"/>
          <w:sz w:val="32"/>
          <w:szCs w:val="32"/>
        </w:rPr>
        <w:t>知识产权服务机构要会同行业协会/商会/科技学会深入企业调研，要协调高校和科研院所深入企业调研，准确掌握产业发展需求。通过调研和对标，做好需求分析，瞄准关键环节进行深入研究，明确</w:t>
      </w:r>
      <w:r>
        <w:rPr>
          <w:rFonts w:hint="eastAsia" w:cs="仿宋_GB2312"/>
          <w:sz w:val="32"/>
          <w:szCs w:val="32"/>
          <w:lang w:eastAsia="zh-CN"/>
        </w:rPr>
        <w:t>项目</w:t>
      </w:r>
      <w:r>
        <w:rPr>
          <w:rFonts w:hint="eastAsia" w:cs="仿宋_GB2312"/>
          <w:sz w:val="32"/>
          <w:szCs w:val="32"/>
        </w:rPr>
        <w:t>着力点。</w:t>
      </w:r>
    </w:p>
    <w:p>
      <w:pPr>
        <w:pageBreakBefore w:val="0"/>
        <w:kinsoku/>
        <w:wordWrap/>
        <w:overflowPunct/>
        <w:topLinePunct w:val="0"/>
        <w:autoSpaceDE w:val="0"/>
        <w:autoSpaceDN w:val="0"/>
        <w:bidi w:val="0"/>
        <w:adjustRightInd w:val="0"/>
        <w:snapToGrid w:val="0"/>
        <w:spacing w:line="600" w:lineRule="exact"/>
        <w:ind w:right="0" w:rightChars="0" w:firstLine="640" w:firstLineChars="200"/>
        <w:jc w:val="both"/>
        <w:textAlignment w:val="auto"/>
        <w:rPr>
          <w:rFonts w:hint="eastAsia" w:cs="仿宋_GB2312"/>
          <w:sz w:val="32"/>
          <w:szCs w:val="32"/>
        </w:rPr>
      </w:pPr>
      <w:r>
        <w:rPr>
          <w:rFonts w:hint="eastAsia" w:cs="仿宋_GB2312"/>
          <w:sz w:val="32"/>
          <w:szCs w:val="32"/>
        </w:rPr>
        <w:t xml:space="preserve">3. </w:t>
      </w:r>
      <w:r>
        <w:rPr>
          <w:rFonts w:hint="eastAsia" w:cs="仿宋_GB2312"/>
          <w:sz w:val="32"/>
          <w:szCs w:val="32"/>
          <w:lang w:eastAsia="zh-CN"/>
        </w:rPr>
        <w:t>申报单位</w:t>
      </w:r>
      <w:r>
        <w:rPr>
          <w:rFonts w:hint="eastAsia" w:cs="仿宋_GB2312"/>
          <w:sz w:val="32"/>
          <w:szCs w:val="32"/>
        </w:rPr>
        <w:t>要扎根</w:t>
      </w:r>
      <w:r>
        <w:rPr>
          <w:rFonts w:hint="eastAsia" w:cs="仿宋_GB2312"/>
          <w:sz w:val="32"/>
          <w:szCs w:val="32"/>
          <w:lang w:eastAsia="zh-CN"/>
        </w:rPr>
        <w:t>目标</w:t>
      </w:r>
      <w:r>
        <w:rPr>
          <w:rFonts w:hint="eastAsia" w:cs="仿宋_GB2312"/>
          <w:sz w:val="32"/>
          <w:szCs w:val="32"/>
        </w:rPr>
        <w:t>产业</w:t>
      </w:r>
      <w:r>
        <w:rPr>
          <w:rFonts w:hint="eastAsia" w:cs="仿宋_GB2312"/>
          <w:sz w:val="32"/>
          <w:szCs w:val="32"/>
          <w:lang w:eastAsia="zh-CN"/>
        </w:rPr>
        <w:t>集群</w:t>
      </w:r>
      <w:r>
        <w:rPr>
          <w:rFonts w:hint="eastAsia" w:cs="仿宋_GB2312"/>
          <w:sz w:val="32"/>
          <w:szCs w:val="32"/>
        </w:rPr>
        <w:t>，深耕产业细分领域，采取专业化、市场化、全球化运作机制，精准“把脉问诊”，精细“量体裁衣”，专注开展专利导航、研发创新成果管理、高质量专利培育、高价值专利布局、高效益专利转化等工作，为创新主体提供高质量的知识产权服务。</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、申报材料</w:t>
      </w:r>
    </w:p>
    <w:p>
      <w:pPr>
        <w:keepNext w:val="0"/>
        <w:keepLines w:val="0"/>
        <w:pageBreakBefore w:val="0"/>
        <w:widowControl w:val="0"/>
        <w:kinsoku/>
        <w:wordWrap/>
        <w:overflowPunct/>
        <w:topLinePunct w:val="0"/>
        <w:bidi w:val="0"/>
        <w:spacing w:line="600" w:lineRule="exact"/>
        <w:ind w:right="0" w:rightChars="0" w:firstLine="640" w:firstLineChars="200"/>
        <w:textAlignment w:val="auto"/>
      </w:pPr>
      <w:r>
        <w:rPr>
          <w:rFonts w:hint="eastAsia"/>
          <w:sz w:val="32"/>
          <w:szCs w:val="32"/>
        </w:rPr>
        <w:t>（一）</w:t>
      </w:r>
      <w:r>
        <w:rPr>
          <w:sz w:val="32"/>
          <w:szCs w:val="32"/>
        </w:rPr>
        <w:t>《</w:t>
      </w:r>
      <w:r>
        <w:rPr>
          <w:rFonts w:hint="eastAsia" w:cs="仿宋_GB2312"/>
          <w:sz w:val="32"/>
          <w:szCs w:val="32"/>
        </w:rPr>
        <w:t>2021年度省市场监督管理局下放市县知识产权专项资金项目入库申报书</w:t>
      </w:r>
      <w:r>
        <w:rPr>
          <w:sz w:val="32"/>
          <w:szCs w:val="32"/>
        </w:rPr>
        <w:t>》；</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sz w:val="32"/>
          <w:szCs w:val="32"/>
        </w:rPr>
      </w:pPr>
      <w:r>
        <w:rPr>
          <w:rFonts w:hint="eastAsia"/>
          <w:sz w:val="32"/>
          <w:szCs w:val="32"/>
        </w:rPr>
        <w:t>（二）</w:t>
      </w:r>
      <w:r>
        <w:rPr>
          <w:sz w:val="32"/>
          <w:szCs w:val="32"/>
        </w:rPr>
        <w:t>法人资格证复印件（加盖公章）；</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rFonts w:hint="eastAsia"/>
          <w:sz w:val="32"/>
          <w:szCs w:val="32"/>
          <w:lang w:eastAsia="zh-CN"/>
        </w:rPr>
      </w:pPr>
      <w:r>
        <w:rPr>
          <w:rFonts w:hint="eastAsia"/>
          <w:sz w:val="32"/>
          <w:szCs w:val="32"/>
          <w:lang w:eastAsia="zh-CN"/>
        </w:rPr>
        <w:t>（三）</w:t>
      </w:r>
      <w:r>
        <w:rPr>
          <w:rFonts w:hint="eastAsia"/>
          <w:sz w:val="32"/>
          <w:szCs w:val="32"/>
        </w:rPr>
        <w:t>国家部委或省级厅局认定各类创新中心的红头文件</w:t>
      </w:r>
      <w:r>
        <w:rPr>
          <w:rFonts w:hint="eastAsia"/>
          <w:sz w:val="32"/>
          <w:szCs w:val="32"/>
          <w:lang w:eastAsia="zh-CN"/>
        </w:rPr>
        <w:t>（如有）；</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sz w:val="32"/>
          <w:szCs w:val="32"/>
        </w:rPr>
      </w:pPr>
      <w:r>
        <w:rPr>
          <w:rFonts w:hint="eastAsia"/>
          <w:sz w:val="32"/>
          <w:szCs w:val="32"/>
        </w:rPr>
        <w:t>（</w:t>
      </w:r>
      <w:r>
        <w:rPr>
          <w:rFonts w:hint="eastAsia"/>
          <w:sz w:val="32"/>
          <w:szCs w:val="32"/>
          <w:lang w:eastAsia="zh-CN"/>
        </w:rPr>
        <w:t>四</w:t>
      </w:r>
      <w:r>
        <w:rPr>
          <w:rFonts w:hint="eastAsia"/>
          <w:sz w:val="32"/>
          <w:szCs w:val="32"/>
        </w:rPr>
        <w:t>）</w:t>
      </w:r>
      <w:r>
        <w:rPr>
          <w:sz w:val="32"/>
          <w:szCs w:val="32"/>
        </w:rPr>
        <w:t>近两年的财务报表；</w:t>
      </w:r>
    </w:p>
    <w:p>
      <w:pPr>
        <w:pStyle w:val="2"/>
        <w:pageBreakBefore w:val="0"/>
        <w:numPr>
          <w:ilvl w:val="0"/>
          <w:numId w:val="0"/>
        </w:numPr>
        <w:tabs>
          <w:tab w:val="clear" w:pos="420"/>
        </w:tabs>
        <w:kinsoku/>
        <w:wordWrap/>
        <w:overflowPunct/>
        <w:topLinePunct w:val="0"/>
        <w:bidi w:val="0"/>
        <w:spacing w:line="600" w:lineRule="exact"/>
        <w:ind w:leftChars="0" w:right="0" w:righ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（五）真实性承诺函；</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sz w:val="32"/>
          <w:szCs w:val="32"/>
        </w:rPr>
      </w:pPr>
      <w:r>
        <w:rPr>
          <w:rFonts w:hint="eastAsia"/>
          <w:sz w:val="32"/>
          <w:szCs w:val="32"/>
        </w:rPr>
        <w:t>（</w:t>
      </w:r>
      <w:r>
        <w:rPr>
          <w:rFonts w:hint="eastAsia"/>
          <w:sz w:val="32"/>
          <w:szCs w:val="32"/>
          <w:lang w:eastAsia="zh-CN"/>
        </w:rPr>
        <w:t>六</w:t>
      </w:r>
      <w:r>
        <w:rPr>
          <w:rFonts w:hint="eastAsia"/>
          <w:sz w:val="32"/>
          <w:szCs w:val="32"/>
        </w:rPr>
        <w:t>）</w:t>
      </w:r>
      <w:r>
        <w:rPr>
          <w:sz w:val="32"/>
          <w:szCs w:val="32"/>
        </w:rPr>
        <w:t>其他证明申报条件、申报优势的材料。</w:t>
      </w:r>
    </w:p>
    <w:p>
      <w:pPr>
        <w:keepNext w:val="0"/>
        <w:keepLines w:val="0"/>
        <w:pageBreakBefore w:val="0"/>
        <w:widowControl w:val="0"/>
        <w:kinsoku/>
        <w:wordWrap/>
        <w:overflowPunct/>
        <w:topLinePunct w:val="0"/>
        <w:bidi w:val="0"/>
        <w:spacing w:line="600" w:lineRule="exact"/>
        <w:ind w:right="0" w:rightChars="0" w:firstLine="640" w:firstLineChars="200"/>
        <w:textAlignment w:val="auto"/>
        <w:rPr>
          <w:sz w:val="32"/>
          <w:szCs w:val="32"/>
        </w:rPr>
      </w:pPr>
    </w:p>
    <w:p>
      <w:pPr>
        <w:pageBreakBefore w:val="0"/>
        <w:kinsoku/>
        <w:wordWrap/>
        <w:overflowPunct/>
        <w:topLinePunct w:val="0"/>
        <w:bidi w:val="0"/>
        <w:spacing w:line="600" w:lineRule="exact"/>
        <w:ind w:right="0" w:righ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大标宋简体">
    <w:altName w:val="微软雅黑"/>
    <w:panose1 w:val="02010601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5C7AA5"/>
    <w:multiLevelType w:val="singleLevel"/>
    <w:tmpl w:val="AD5C7AA5"/>
    <w:lvl w:ilvl="0" w:tentative="0">
      <w:start w:val="3"/>
      <w:numFmt w:val="chineseCounting"/>
      <w:suff w:val="nothing"/>
      <w:lvlText w:val="%1、"/>
      <w:lvlJc w:val="left"/>
      <w:rPr>
        <w:rFonts w:hint="eastAsia"/>
      </w:rPr>
    </w:lvl>
  </w:abstractNum>
  <w:abstractNum w:abstractNumId="1">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420FD"/>
    <w:rsid w:val="099B5D82"/>
    <w:rsid w:val="099B68AB"/>
    <w:rsid w:val="0F944977"/>
    <w:rsid w:val="1A164E74"/>
    <w:rsid w:val="2352181C"/>
    <w:rsid w:val="26E67D58"/>
    <w:rsid w:val="2D562CF4"/>
    <w:rsid w:val="34BA69C0"/>
    <w:rsid w:val="38A21829"/>
    <w:rsid w:val="3A825982"/>
    <w:rsid w:val="3D454FBA"/>
    <w:rsid w:val="43CC2F36"/>
    <w:rsid w:val="4660718B"/>
    <w:rsid w:val="4744244E"/>
    <w:rsid w:val="4FB15D62"/>
    <w:rsid w:val="583420FD"/>
    <w:rsid w:val="5F376544"/>
    <w:rsid w:val="60770930"/>
    <w:rsid w:val="60C61F59"/>
    <w:rsid w:val="60E04491"/>
    <w:rsid w:val="66C52798"/>
    <w:rsid w:val="723242AF"/>
    <w:rsid w:val="75DC5207"/>
    <w:rsid w:val="7D4B0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样式1"/>
    <w:basedOn w:val="2"/>
    <w:qFormat/>
    <w:uiPriority w:val="0"/>
    <w:pPr>
      <w:widowControl/>
      <w:adjustRightInd w:val="0"/>
      <w:snapToGrid w:val="0"/>
      <w:spacing w:before="100" w:beforeAutospacing="1" w:after="100" w:afterAutospacing="1" w:line="640" w:lineRule="exact"/>
      <w:jc w:val="center"/>
    </w:pPr>
    <w:rPr>
      <w:rFonts w:ascii="小标宋" w:eastAsia="小标宋"/>
      <w:color w:val="000000"/>
      <w:kern w:val="0"/>
    </w:rPr>
  </w:style>
  <w:style w:type="paragraph" w:customStyle="1" w:styleId="9">
    <w:name w:val="正文 New"/>
    <w:qFormat/>
    <w:uiPriority w:val="0"/>
    <w:pPr>
      <w:widowControl w:val="0"/>
      <w:jc w:val="both"/>
    </w:pPr>
    <w:rPr>
      <w:rFonts w:ascii="Calibri" w:hAnsi="Calibri" w:eastAsia="仿宋_GB2312" w:cs="Times New Roman"/>
      <w:kern w:val="2"/>
      <w:sz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1</Pages>
  <Words>0</Words>
  <Characters>0</Characters>
  <Lines>0</Lines>
  <Paragraphs>0</Paragraphs>
  <ScaleCrop>false</ScaleCrop>
  <LinksUpToDate>false</LinksUpToDate>
  <CharactersWithSpaces>0</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2020-09-21T08:34:00Z</dcterms:created>
  <dc:creator>羅-敏儿</dc:creator>
  <cp:lastModifiedBy>陈明</cp:lastModifiedBy>
  <dcterms:modified xsi:type="dcterms:W3CDTF">2020-11-06T08:00:04Z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