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72692A">
      <w:pPr>
        <w:jc w:val="center"/>
        <w:rPr>
          <w:b/>
          <w:sz w:val="52"/>
        </w:rPr>
      </w:pPr>
      <w:bookmarkStart w:id="0" w:name="_GoBack"/>
      <w:bookmarkEnd w:id="0"/>
    </w:p>
    <w:p w14:paraId="7C3C7824">
      <w:pPr>
        <w:jc w:val="center"/>
        <w:rPr>
          <w:rFonts w:hint="eastAsia" w:ascii="宋体" w:hAnsi="宋体" w:cs="宋体"/>
          <w:b/>
          <w:spacing w:val="70"/>
          <w:sz w:val="52"/>
          <w:szCs w:val="52"/>
        </w:rPr>
      </w:pPr>
      <w:r>
        <w:rPr>
          <w:rFonts w:hint="eastAsia" w:ascii="宋体" w:hAnsi="宋体" w:cs="宋体"/>
          <w:sz w:val="52"/>
          <w:szCs w:val="52"/>
          <w:u w:val="single"/>
          <w:lang w:bidi="ar"/>
        </w:rPr>
        <w:t xml:space="preserve">  </w:t>
      </w:r>
      <w:r>
        <w:rPr>
          <w:rFonts w:hint="eastAsia" w:ascii="宋体" w:hAnsi="宋体" w:cs="宋体"/>
          <w:b/>
          <w:bCs/>
          <w:sz w:val="52"/>
          <w:szCs w:val="52"/>
          <w:u w:val="single"/>
          <w:lang w:val="en-US" w:eastAsia="zh-CN" w:bidi="ar"/>
        </w:rPr>
        <w:t>东源县自然资源规划测绘院</w:t>
      </w:r>
      <w:r>
        <w:rPr>
          <w:rFonts w:hint="eastAsia" w:ascii="宋体" w:hAnsi="宋体" w:cs="宋体"/>
          <w:sz w:val="52"/>
          <w:szCs w:val="52"/>
          <w:u w:val="single"/>
          <w:lang w:bidi="ar"/>
        </w:rPr>
        <w:t xml:space="preserve">  </w:t>
      </w:r>
      <w:r>
        <w:rPr>
          <w:rFonts w:hint="eastAsia" w:ascii="宋体" w:hAnsi="宋体" w:cs="宋体"/>
          <w:b/>
          <w:sz w:val="52"/>
          <w:szCs w:val="52"/>
          <w:lang w:val="en-US" w:eastAsia="zh-CN" w:bidi="ar"/>
        </w:rPr>
        <w:t>测绘资质证书延续</w:t>
      </w:r>
      <w:r>
        <w:rPr>
          <w:rFonts w:hint="eastAsia" w:ascii="宋体" w:hAnsi="宋体" w:cs="宋体"/>
          <w:b/>
          <w:sz w:val="52"/>
          <w:szCs w:val="52"/>
          <w:lang w:bidi="ar"/>
        </w:rPr>
        <w:t>申请</w:t>
      </w:r>
    </w:p>
    <w:p w14:paraId="68930E0F">
      <w:pPr>
        <w:jc w:val="center"/>
        <w:rPr>
          <w:rFonts w:hint="eastAsia" w:ascii="宋体" w:hAnsi="宋体" w:cs="宋体"/>
          <w:b/>
          <w:sz w:val="52"/>
          <w:szCs w:val="52"/>
          <w:lang w:bidi="ar"/>
        </w:rPr>
      </w:pPr>
      <w:r>
        <w:rPr>
          <w:rFonts w:hint="eastAsia" w:ascii="宋体" w:hAnsi="宋体" w:cs="宋体"/>
          <w:b/>
          <w:sz w:val="52"/>
          <w:szCs w:val="52"/>
          <w:lang w:bidi="ar"/>
        </w:rPr>
        <w:t>主要信息公开表</w:t>
      </w:r>
    </w:p>
    <w:p w14:paraId="20350A36"/>
    <w:p w14:paraId="4F8D53E0"/>
    <w:p w14:paraId="62D4C2F0"/>
    <w:p w14:paraId="28F140CD"/>
    <w:p w14:paraId="2D88D16D"/>
    <w:p w14:paraId="1D27E21B">
      <w:pPr>
        <w:jc w:val="center"/>
        <w:rPr>
          <w:rFonts w:ascii="Times New Roman" w:hAnsi="Times New Roman"/>
          <w:b/>
          <w:sz w:val="36"/>
          <w:lang w:bidi="ar"/>
        </w:rPr>
      </w:pPr>
      <w:r>
        <w:rPr>
          <w:rFonts w:ascii="Times New Roman" w:hAnsi="Times New Roman"/>
          <w:b/>
          <w:sz w:val="36"/>
          <w:lang w:bidi="ar"/>
        </w:rPr>
        <w:t xml:space="preserve"> </w:t>
      </w:r>
    </w:p>
    <w:p w14:paraId="1A497701">
      <w:pPr>
        <w:jc w:val="center"/>
        <w:rPr>
          <w:rFonts w:ascii="Times New Roman" w:hAnsi="Times New Roman"/>
          <w:b/>
          <w:sz w:val="36"/>
          <w:lang w:bidi="ar"/>
        </w:rPr>
      </w:pPr>
    </w:p>
    <w:p w14:paraId="4F9ED6DE">
      <w:pPr>
        <w:rPr>
          <w:b/>
          <w:sz w:val="36"/>
        </w:rPr>
      </w:pPr>
    </w:p>
    <w:p w14:paraId="067E1113">
      <w:pPr>
        <w:jc w:val="center"/>
        <w:rPr>
          <w:b/>
          <w:sz w:val="36"/>
        </w:rPr>
      </w:pPr>
    </w:p>
    <w:p w14:paraId="58012199">
      <w:pPr>
        <w:jc w:val="center"/>
        <w:rPr>
          <w:rFonts w:hint="eastAsia" w:ascii="Times New Roman" w:hAnsi="Times New Roman" w:cs="宋体"/>
          <w:b/>
          <w:spacing w:val="70"/>
          <w:sz w:val="36"/>
          <w:lang w:bidi="ar"/>
        </w:rPr>
      </w:pPr>
    </w:p>
    <w:p w14:paraId="3C88470E">
      <w:pPr>
        <w:jc w:val="center"/>
        <w:rPr>
          <w:rFonts w:hint="eastAsia" w:ascii="Times New Roman" w:hAnsi="Times New Roman" w:cs="宋体"/>
          <w:b/>
          <w:spacing w:val="70"/>
          <w:sz w:val="36"/>
          <w:lang w:bidi="ar"/>
        </w:rPr>
      </w:pPr>
    </w:p>
    <w:p w14:paraId="30EEE551">
      <w:pPr>
        <w:jc w:val="center"/>
        <w:rPr>
          <w:sz w:val="44"/>
          <w:szCs w:val="44"/>
        </w:rPr>
      </w:pPr>
      <w:r>
        <w:rPr>
          <w:rFonts w:hint="eastAsia" w:ascii="Times New Roman" w:hAnsi="Times New Roman" w:cs="宋体"/>
          <w:sz w:val="44"/>
          <w:szCs w:val="44"/>
          <w:lang w:bidi="ar"/>
        </w:rPr>
        <w:t>一、</w:t>
      </w:r>
      <w:r>
        <w:rPr>
          <w:rFonts w:hint="eastAsia" w:ascii="Times New Roman" w:hAnsi="Times New Roman" w:cs="宋体"/>
          <w:b/>
          <w:sz w:val="44"/>
          <w:szCs w:val="44"/>
          <w:lang w:bidi="ar"/>
        </w:rPr>
        <w:t>单位基本情况及所申请</w:t>
      </w:r>
      <w:r>
        <w:rPr>
          <w:rFonts w:hint="eastAsia" w:ascii="Times New Roman" w:hAnsi="Times New Roman" w:cs="宋体"/>
          <w:b/>
          <w:sz w:val="44"/>
          <w:szCs w:val="44"/>
          <w:lang w:val="en-US" w:eastAsia="zh-CN" w:bidi="ar"/>
        </w:rPr>
        <w:t>延续</w:t>
      </w:r>
      <w:r>
        <w:rPr>
          <w:rFonts w:hint="eastAsia" w:ascii="Times New Roman" w:hAnsi="Times New Roman" w:cs="宋体"/>
          <w:b/>
          <w:sz w:val="44"/>
          <w:szCs w:val="44"/>
          <w:lang w:bidi="ar"/>
        </w:rPr>
        <w:t>资质等级类别</w:t>
      </w:r>
    </w:p>
    <w:p w14:paraId="4DD28812"/>
    <w:tbl>
      <w:tblPr>
        <w:tblStyle w:val="6"/>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6FF4A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14:paraId="1D429B68">
            <w:pPr>
              <w:jc w:val="center"/>
              <w:rPr>
                <w:b/>
                <w:sz w:val="24"/>
              </w:rPr>
            </w:pPr>
            <w:r>
              <w:rPr>
                <w:rFonts w:hint="eastAsia" w:ascii="Times New Roman" w:hAnsi="Times New Roman" w:cs="宋体"/>
                <w:b/>
                <w:sz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A9BA051">
            <w:pPr>
              <w:jc w:val="center"/>
              <w:rPr>
                <w:rFonts w:hint="default" w:eastAsia="宋体"/>
                <w:sz w:val="24"/>
                <w:lang w:val="en-US" w:eastAsia="zh-CN"/>
              </w:rPr>
            </w:pPr>
            <w:r>
              <w:rPr>
                <w:rFonts w:hint="eastAsia"/>
                <w:sz w:val="24"/>
                <w:lang w:val="en-US" w:eastAsia="zh-CN"/>
              </w:rPr>
              <w:t>东源县自然资源规划测绘院</w:t>
            </w:r>
          </w:p>
        </w:tc>
      </w:tr>
      <w:tr w14:paraId="1737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14:paraId="3E018253">
            <w:pPr>
              <w:jc w:val="center"/>
              <w:rPr>
                <w:rFonts w:hint="eastAsia" w:ascii="Times New Roman" w:hAnsi="Times New Roman" w:cs="宋体"/>
                <w:b/>
                <w:sz w:val="24"/>
                <w:lang w:bidi="ar"/>
              </w:rPr>
            </w:pPr>
            <w:r>
              <w:rPr>
                <w:rFonts w:hint="eastAsia" w:ascii="Times New Roman" w:hAnsi="Times New Roman" w:cs="宋体"/>
                <w:b/>
                <w:sz w:val="24"/>
                <w:lang w:bidi="ar"/>
              </w:rPr>
              <w:t>统一社会信用代码</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8A1E573">
            <w:pPr>
              <w:jc w:val="center"/>
              <w:rPr>
                <w:rFonts w:hint="default" w:eastAsia="宋体"/>
                <w:sz w:val="24"/>
                <w:lang w:val="en-US" w:eastAsia="zh-CN"/>
              </w:rPr>
            </w:pPr>
            <w:r>
              <w:rPr>
                <w:rFonts w:hint="eastAsia"/>
                <w:sz w:val="24"/>
                <w:lang w:val="en-US" w:eastAsia="zh-CN"/>
              </w:rPr>
              <w:t>12441625756454002R</w:t>
            </w:r>
          </w:p>
        </w:tc>
      </w:tr>
      <w:tr w14:paraId="76389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93A36D1">
            <w:pPr>
              <w:jc w:val="center"/>
              <w:rPr>
                <w:b/>
                <w:sz w:val="24"/>
              </w:rPr>
            </w:pPr>
            <w:r>
              <w:rPr>
                <w:rFonts w:hint="eastAsia" w:ascii="Times New Roman" w:hAnsi="Times New Roman" w:cs="宋体"/>
                <w:b/>
                <w:sz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4F17094D">
            <w:pPr>
              <w:jc w:val="center"/>
              <w:rPr>
                <w:rFonts w:hint="default" w:eastAsia="宋体"/>
                <w:sz w:val="24"/>
                <w:lang w:val="en-US" w:eastAsia="zh-CN"/>
              </w:rPr>
            </w:pPr>
            <w:r>
              <w:rPr>
                <w:rFonts w:hint="eastAsia"/>
                <w:sz w:val="24"/>
                <w:lang w:val="en-US" w:eastAsia="zh-CN"/>
              </w:rPr>
              <w:t>事业单位</w:t>
            </w:r>
          </w:p>
        </w:tc>
      </w:tr>
      <w:tr w14:paraId="05A1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734125BD">
            <w:pPr>
              <w:jc w:val="center"/>
              <w:rPr>
                <w:b/>
                <w:sz w:val="24"/>
              </w:rPr>
            </w:pPr>
            <w:r>
              <w:rPr>
                <w:rFonts w:hint="eastAsia" w:ascii="Times New Roman" w:hAnsi="Times New Roman" w:cs="宋体"/>
                <w:b/>
                <w:sz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768B201">
            <w:pPr>
              <w:jc w:val="center"/>
              <w:rPr>
                <w:rFonts w:hint="default" w:eastAsia="宋体"/>
                <w:sz w:val="24"/>
                <w:lang w:val="en-US" w:eastAsia="zh-CN"/>
              </w:rPr>
            </w:pPr>
            <w:r>
              <w:rPr>
                <w:rFonts w:hint="eastAsia"/>
                <w:sz w:val="24"/>
                <w:lang w:val="en-US" w:eastAsia="zh-CN"/>
              </w:rPr>
              <w:t>东源县自然资源局办公大楼六楼</w:t>
            </w:r>
          </w:p>
        </w:tc>
      </w:tr>
      <w:tr w14:paraId="06E38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9B823DD">
            <w:pPr>
              <w:jc w:val="center"/>
              <w:rPr>
                <w:b/>
                <w:sz w:val="24"/>
              </w:rPr>
            </w:pPr>
            <w:r>
              <w:rPr>
                <w:rFonts w:hint="eastAsia" w:ascii="Times New Roman" w:hAnsi="Times New Roman" w:cs="宋体"/>
                <w:b/>
                <w:sz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56A859A">
            <w:pPr>
              <w:jc w:val="center"/>
              <w:rPr>
                <w:rFonts w:hint="default" w:eastAsia="宋体"/>
                <w:sz w:val="24"/>
                <w:lang w:val="en-US" w:eastAsia="zh-CN"/>
              </w:rPr>
            </w:pPr>
            <w:r>
              <w:rPr>
                <w:rFonts w:hint="eastAsia"/>
                <w:sz w:val="24"/>
                <w:lang w:val="en-US" w:eastAsia="zh-CN"/>
              </w:rPr>
              <w:t>黄立文</w:t>
            </w:r>
          </w:p>
        </w:tc>
      </w:tr>
      <w:tr w14:paraId="073F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995A207">
            <w:pPr>
              <w:jc w:val="center"/>
              <w:rPr>
                <w:b/>
                <w:sz w:val="28"/>
              </w:rPr>
            </w:pPr>
            <w:r>
              <w:rPr>
                <w:rFonts w:hint="eastAsia" w:ascii="Times New Roman" w:hAnsi="Times New Roman" w:cs="宋体"/>
                <w:b/>
                <w:sz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666E9FF">
            <w:pPr>
              <w:jc w:val="center"/>
              <w:rPr>
                <w:rFonts w:hint="default" w:eastAsia="宋体"/>
                <w:lang w:val="en-US" w:eastAsia="zh-CN"/>
              </w:rPr>
            </w:pPr>
            <w:r>
              <w:rPr>
                <w:rFonts w:hint="eastAsia"/>
                <w:sz w:val="24"/>
                <w:lang w:val="en-US" w:eastAsia="zh-CN"/>
              </w:rPr>
              <w:t>乙级：工程测量、界线与不动产测绘</w:t>
            </w:r>
          </w:p>
        </w:tc>
      </w:tr>
    </w:tbl>
    <w:p w14:paraId="334F96F9"/>
    <w:p w14:paraId="60FB7753">
      <w:pPr>
        <w:jc w:val="center"/>
        <w:rPr>
          <w:b/>
          <w:spacing w:val="70"/>
          <w:sz w:val="36"/>
        </w:rPr>
      </w:pPr>
    </w:p>
    <w:p w14:paraId="58328343">
      <w:pPr>
        <w:jc w:val="center"/>
        <w:rPr>
          <w:b/>
          <w:spacing w:val="70"/>
          <w:sz w:val="36"/>
        </w:rPr>
      </w:pPr>
    </w:p>
    <w:p w14:paraId="2423821A">
      <w:pPr>
        <w:jc w:val="center"/>
        <w:rPr>
          <w:b/>
          <w:spacing w:val="70"/>
          <w:sz w:val="36"/>
        </w:rPr>
      </w:pPr>
    </w:p>
    <w:p w14:paraId="176B6816">
      <w:pPr>
        <w:jc w:val="center"/>
        <w:rPr>
          <w:b/>
          <w:spacing w:val="70"/>
          <w:sz w:val="36"/>
        </w:rPr>
      </w:pPr>
    </w:p>
    <w:p w14:paraId="44085712">
      <w:pPr>
        <w:jc w:val="center"/>
        <w:rPr>
          <w:b/>
          <w:spacing w:val="70"/>
          <w:sz w:val="36"/>
        </w:rPr>
      </w:pPr>
    </w:p>
    <w:p w14:paraId="006E4208">
      <w:pPr>
        <w:jc w:val="center"/>
        <w:rPr>
          <w:b/>
          <w:spacing w:val="70"/>
          <w:sz w:val="36"/>
        </w:rPr>
      </w:pPr>
    </w:p>
    <w:p w14:paraId="0AFE66A1">
      <w:pPr>
        <w:jc w:val="center"/>
      </w:pPr>
      <w:r>
        <w:rPr>
          <w:rFonts w:hint="eastAsia" w:ascii="Times New Roman" w:hAnsi="Times New Roman" w:cs="宋体"/>
          <w:b/>
          <w:sz w:val="44"/>
          <w:szCs w:val="44"/>
          <w:lang w:bidi="ar"/>
        </w:rPr>
        <w:t>二、专业技术人员</w:t>
      </w:r>
    </w:p>
    <w:p w14:paraId="3D140104"/>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1FBA2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2B42A9F1">
            <w:pPr>
              <w:jc w:val="center"/>
              <w:rPr>
                <w:b/>
                <w:sz w:val="32"/>
              </w:rPr>
            </w:pPr>
            <w:r>
              <w:rPr>
                <w:rFonts w:hint="eastAsia" w:ascii="Times New Roman" w:hAnsi="Times New Roman" w:cs="宋体"/>
                <w:b/>
                <w:sz w:val="32"/>
                <w:lang w:bidi="ar"/>
              </w:rPr>
              <w:t>测绘专业高级技术人员</w:t>
            </w:r>
          </w:p>
        </w:tc>
      </w:tr>
      <w:tr w14:paraId="40C32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4E2E8AF2">
            <w:pPr>
              <w:jc w:val="center"/>
              <w:rPr>
                <w:b/>
                <w:sz w:val="24"/>
              </w:rPr>
            </w:pPr>
            <w:r>
              <w:rPr>
                <w:rFonts w:hint="eastAsia" w:ascii="Times New Roman" w:hAnsi="Times New Roman" w:cs="宋体"/>
                <w:b/>
                <w:sz w:val="24"/>
                <w:lang w:bidi="ar"/>
              </w:rPr>
              <w:t>序</w:t>
            </w:r>
          </w:p>
          <w:p w14:paraId="67E82AAC">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6B3CD1B2">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90B8958">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588D6D9">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9293C3D">
            <w:pPr>
              <w:jc w:val="center"/>
              <w:rPr>
                <w:b/>
                <w:sz w:val="24"/>
              </w:rPr>
            </w:pPr>
          </w:p>
          <w:p w14:paraId="513FCB9F">
            <w:pPr>
              <w:jc w:val="center"/>
              <w:rPr>
                <w:b/>
                <w:sz w:val="24"/>
              </w:rPr>
            </w:pPr>
            <w:r>
              <w:rPr>
                <w:rFonts w:hint="eastAsia" w:ascii="Times New Roman" w:hAnsi="Times New Roman" w:cs="宋体"/>
                <w:b/>
                <w:sz w:val="24"/>
                <w:lang w:bidi="ar"/>
              </w:rPr>
              <w:t>备注</w:t>
            </w:r>
          </w:p>
        </w:tc>
      </w:tr>
      <w:tr w14:paraId="2311D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00B1850D">
            <w:pPr>
              <w:jc w:val="center"/>
            </w:pPr>
          </w:p>
        </w:tc>
        <w:tc>
          <w:tcPr>
            <w:tcW w:w="3090" w:type="dxa"/>
            <w:tcBorders>
              <w:top w:val="single" w:color="auto" w:sz="4" w:space="0"/>
              <w:left w:val="single" w:color="auto" w:sz="4" w:space="0"/>
              <w:bottom w:val="single" w:color="auto" w:sz="4" w:space="0"/>
              <w:right w:val="single" w:color="auto" w:sz="4" w:space="0"/>
            </w:tcBorders>
            <w:noWrap w:val="0"/>
            <w:vAlign w:val="center"/>
          </w:tcPr>
          <w:p w14:paraId="204FBB24">
            <w:pPr>
              <w:spacing w:line="240" w:lineRule="exact"/>
              <w:ind w:left="-105" w:right="-105"/>
            </w:pP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CEA0768">
            <w:pPr>
              <w:spacing w:line="240" w:lineRule="exact"/>
              <w:ind w:right="-105"/>
            </w:pP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BDC742B"/>
        </w:tc>
        <w:tc>
          <w:tcPr>
            <w:tcW w:w="4994" w:type="dxa"/>
            <w:tcBorders>
              <w:top w:val="single" w:color="auto" w:sz="4" w:space="0"/>
              <w:left w:val="single" w:color="auto" w:sz="4" w:space="0"/>
              <w:bottom w:val="single" w:color="auto" w:sz="4" w:space="0"/>
              <w:right w:val="single" w:color="auto" w:sz="4" w:space="0"/>
            </w:tcBorders>
            <w:noWrap w:val="0"/>
            <w:vAlign w:val="center"/>
          </w:tcPr>
          <w:p w14:paraId="2A1E79B8">
            <w:pPr>
              <w:spacing w:line="240" w:lineRule="exact"/>
              <w:ind w:left="-105" w:right="-105"/>
              <w:jc w:val="center"/>
            </w:pPr>
            <w:r>
              <w:rPr>
                <w:rFonts w:ascii="Times New Roman" w:hAnsi="Times New Roman"/>
                <w:lang w:bidi="ar"/>
              </w:rPr>
              <w:t>#</w:t>
            </w:r>
          </w:p>
        </w:tc>
      </w:tr>
      <w:tr w14:paraId="38AD1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5386ADD9">
            <w:pPr>
              <w:jc w:val="center"/>
            </w:pPr>
          </w:p>
        </w:tc>
        <w:tc>
          <w:tcPr>
            <w:tcW w:w="3090" w:type="dxa"/>
            <w:tcBorders>
              <w:top w:val="single" w:color="auto" w:sz="4" w:space="0"/>
              <w:left w:val="single" w:color="auto" w:sz="4" w:space="0"/>
              <w:bottom w:val="single" w:color="auto" w:sz="4" w:space="0"/>
              <w:right w:val="single" w:color="auto" w:sz="4" w:space="0"/>
            </w:tcBorders>
            <w:noWrap w:val="0"/>
            <w:vAlign w:val="center"/>
          </w:tcPr>
          <w:p w14:paraId="5354DE94">
            <w:pPr>
              <w:spacing w:line="240" w:lineRule="exact"/>
              <w:ind w:left="-105" w:right="-105"/>
            </w:pP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479A889">
            <w:pPr>
              <w:spacing w:line="240" w:lineRule="exact"/>
              <w:ind w:right="-105"/>
            </w:pP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F3FE225"/>
        </w:tc>
        <w:tc>
          <w:tcPr>
            <w:tcW w:w="4994" w:type="dxa"/>
            <w:tcBorders>
              <w:top w:val="single" w:color="auto" w:sz="4" w:space="0"/>
              <w:left w:val="single" w:color="auto" w:sz="4" w:space="0"/>
              <w:bottom w:val="single" w:color="auto" w:sz="4" w:space="0"/>
              <w:right w:val="single" w:color="auto" w:sz="4" w:space="0"/>
            </w:tcBorders>
            <w:noWrap w:val="0"/>
            <w:vAlign w:val="center"/>
          </w:tcPr>
          <w:p w14:paraId="5E471D36">
            <w:pPr>
              <w:spacing w:line="240" w:lineRule="exact"/>
              <w:ind w:left="-105" w:right="-105"/>
            </w:pPr>
          </w:p>
        </w:tc>
      </w:tr>
    </w:tbl>
    <w:p w14:paraId="2900EC1A"/>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40177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2184206F">
            <w:pPr>
              <w:jc w:val="center"/>
              <w:rPr>
                <w:b/>
                <w:sz w:val="32"/>
              </w:rPr>
            </w:pPr>
            <w:r>
              <w:rPr>
                <w:rFonts w:hint="eastAsia" w:ascii="Times New Roman" w:hAnsi="Times New Roman" w:cs="宋体"/>
                <w:b/>
                <w:sz w:val="32"/>
                <w:lang w:bidi="ar"/>
              </w:rPr>
              <w:t>测绘专业中级技术人员</w:t>
            </w:r>
          </w:p>
        </w:tc>
      </w:tr>
      <w:tr w14:paraId="6902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1716C4E9">
            <w:pPr>
              <w:jc w:val="center"/>
              <w:rPr>
                <w:b/>
                <w:sz w:val="24"/>
              </w:rPr>
            </w:pPr>
            <w:r>
              <w:rPr>
                <w:rFonts w:hint="eastAsia" w:ascii="Times New Roman" w:hAnsi="Times New Roman" w:cs="宋体"/>
                <w:b/>
                <w:sz w:val="24"/>
                <w:lang w:bidi="ar"/>
              </w:rPr>
              <w:t>序</w:t>
            </w:r>
          </w:p>
          <w:p w14:paraId="33490A1B">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2BB24B28">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AB188C4">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55E3FE7">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77726EF">
            <w:pPr>
              <w:jc w:val="center"/>
              <w:rPr>
                <w:b/>
                <w:sz w:val="24"/>
              </w:rPr>
            </w:pPr>
            <w:r>
              <w:rPr>
                <w:rFonts w:hint="eastAsia" w:ascii="Times New Roman" w:hAnsi="Times New Roman" w:cs="宋体"/>
                <w:b/>
                <w:sz w:val="24"/>
                <w:lang w:bidi="ar"/>
              </w:rPr>
              <w:t>备注</w:t>
            </w:r>
          </w:p>
        </w:tc>
      </w:tr>
      <w:tr w14:paraId="0363D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7020182A">
            <w:pPr>
              <w:jc w:val="center"/>
              <w:rPr>
                <w:rFonts w:hint="default"/>
                <w:lang w:val="en-US" w:eastAsia="zh-CN"/>
              </w:rP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680320E8">
            <w:pPr>
              <w:spacing w:line="240" w:lineRule="exact"/>
              <w:ind w:left="-105" w:right="-105"/>
              <w:jc w:val="center"/>
              <w:rPr>
                <w:rFonts w:hint="default" w:eastAsia="宋体"/>
                <w:lang w:val="en-US" w:eastAsia="zh-CN"/>
              </w:rPr>
            </w:pPr>
            <w:r>
              <w:rPr>
                <w:rFonts w:hint="eastAsia"/>
                <w:lang w:val="en-US" w:eastAsia="zh-CN"/>
              </w:rPr>
              <w:t>庞子龙</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C2B6C00">
            <w:pPr>
              <w:spacing w:line="240" w:lineRule="exact"/>
              <w:ind w:right="-105"/>
              <w:jc w:val="center"/>
              <w:rPr>
                <w:rFonts w:hint="default"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B46D57E">
            <w:pPr>
              <w:jc w:val="center"/>
              <w:rPr>
                <w:rFonts w:hint="default" w:eastAsia="宋体"/>
                <w:lang w:val="en-US" w:eastAsia="zh-CN"/>
              </w:rPr>
            </w:pPr>
            <w:r>
              <w:rPr>
                <w:rFonts w:hint="eastAsia"/>
                <w:lang w:val="en-US" w:eastAsia="zh-CN"/>
              </w:rPr>
              <w:t>38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E34E4B9">
            <w:pPr>
              <w:spacing w:line="240" w:lineRule="exact"/>
              <w:ind w:left="-105" w:right="-105"/>
              <w:jc w:val="center"/>
            </w:pPr>
            <w:r>
              <w:rPr>
                <w:rFonts w:ascii="Times New Roman" w:hAnsi="Times New Roman"/>
                <w:lang w:bidi="ar"/>
              </w:rPr>
              <w:t>#</w:t>
            </w:r>
          </w:p>
        </w:tc>
      </w:tr>
      <w:tr w14:paraId="6AB91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663EA7DD">
            <w:pPr>
              <w:jc w:val="center"/>
              <w:rPr>
                <w:rFonts w:hint="eastAsia" w:eastAsia="宋体"/>
                <w:lang w:val="en-US" w:eastAsia="zh-CN"/>
              </w:rPr>
            </w:pPr>
            <w:r>
              <w:rPr>
                <w:rFonts w:hint="eastAsia"/>
                <w:lang w:val="en-US" w:eastAsia="zh-CN"/>
              </w:rPr>
              <w:t>2</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3C254217">
            <w:pPr>
              <w:spacing w:line="240" w:lineRule="exact"/>
              <w:ind w:left="-105" w:right="-105"/>
              <w:jc w:val="center"/>
              <w:rPr>
                <w:rFonts w:hint="default" w:eastAsia="宋体"/>
                <w:lang w:val="en-US" w:eastAsia="zh-CN"/>
              </w:rPr>
            </w:pPr>
            <w:r>
              <w:rPr>
                <w:rFonts w:hint="eastAsia"/>
                <w:lang w:val="en-US" w:eastAsia="zh-CN"/>
              </w:rPr>
              <w:t>陈小演</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480C6E7">
            <w:pPr>
              <w:spacing w:line="240" w:lineRule="exact"/>
              <w:ind w:right="-105"/>
              <w:jc w:val="center"/>
              <w:rPr>
                <w:rFonts w:hint="eastAsia" w:eastAsia="宋体"/>
                <w:lang w:val="en-US" w:eastAsia="zh-CN"/>
              </w:rP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B14BDDC">
            <w:pPr>
              <w:jc w:val="center"/>
              <w:rPr>
                <w:rFonts w:hint="default" w:eastAsia="宋体"/>
                <w:lang w:val="en-US" w:eastAsia="zh-CN"/>
              </w:rPr>
            </w:pPr>
            <w:r>
              <w:rPr>
                <w:rFonts w:hint="eastAsia"/>
                <w:lang w:val="en-US" w:eastAsia="zh-CN"/>
              </w:rPr>
              <w:t>52</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DE349DE">
            <w:pPr>
              <w:spacing w:line="240" w:lineRule="exact"/>
              <w:ind w:left="-105" w:right="-105"/>
              <w:jc w:val="center"/>
            </w:pPr>
          </w:p>
        </w:tc>
      </w:tr>
      <w:tr w14:paraId="4769C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682DC86C">
            <w:pPr>
              <w:jc w:val="center"/>
              <w:rPr>
                <w:rFonts w:hint="eastAsia" w:eastAsia="宋体"/>
                <w:lang w:val="en-US" w:eastAsia="zh-CN"/>
              </w:rPr>
            </w:pPr>
            <w:r>
              <w:rPr>
                <w:rFonts w:hint="eastAsia"/>
                <w:lang w:val="en-US" w:eastAsia="zh-CN"/>
              </w:rPr>
              <w:t>3</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00C27C51">
            <w:pPr>
              <w:spacing w:line="240" w:lineRule="exact"/>
              <w:ind w:left="-105" w:right="-105"/>
              <w:jc w:val="center"/>
              <w:rPr>
                <w:rFonts w:hint="default" w:eastAsia="宋体"/>
                <w:lang w:val="en-US" w:eastAsia="zh-CN"/>
              </w:rPr>
            </w:pPr>
            <w:r>
              <w:rPr>
                <w:rFonts w:hint="eastAsia"/>
                <w:lang w:val="en-US" w:eastAsia="zh-CN"/>
              </w:rPr>
              <w:t>林军国</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519BC61">
            <w:pPr>
              <w:spacing w:line="240" w:lineRule="exact"/>
              <w:ind w:right="-105"/>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AEA8642">
            <w:pPr>
              <w:jc w:val="center"/>
              <w:rPr>
                <w:rFonts w:hint="default" w:eastAsia="宋体"/>
                <w:lang w:val="en-US" w:eastAsia="zh-CN"/>
              </w:rPr>
            </w:pPr>
            <w:r>
              <w:rPr>
                <w:rFonts w:hint="eastAsia"/>
                <w:lang w:val="en-US" w:eastAsia="zh-CN"/>
              </w:rPr>
              <w:t>44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C7B5C0B">
            <w:pPr>
              <w:spacing w:line="240" w:lineRule="exact"/>
              <w:ind w:left="-105" w:right="-105"/>
              <w:jc w:val="center"/>
            </w:pPr>
          </w:p>
        </w:tc>
      </w:tr>
      <w:tr w14:paraId="23FA7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05200429">
            <w:pPr>
              <w:jc w:val="center"/>
              <w:rPr>
                <w:rFonts w:hint="eastAsia" w:eastAsia="宋体"/>
                <w:lang w:val="en-US" w:eastAsia="zh-CN"/>
              </w:rPr>
            </w:pPr>
            <w:r>
              <w:rPr>
                <w:rFonts w:hint="eastAsia"/>
                <w:lang w:val="en-US" w:eastAsia="zh-CN"/>
              </w:rPr>
              <w:t>4</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07B9236F">
            <w:pPr>
              <w:spacing w:line="240" w:lineRule="exact"/>
              <w:ind w:left="-105" w:right="-105"/>
              <w:jc w:val="center"/>
              <w:rPr>
                <w:rFonts w:hint="default" w:eastAsia="宋体"/>
                <w:lang w:val="en-US" w:eastAsia="zh-CN"/>
              </w:rPr>
            </w:pPr>
            <w:r>
              <w:rPr>
                <w:rFonts w:hint="eastAsia"/>
                <w:lang w:val="en-US" w:eastAsia="zh-CN"/>
              </w:rPr>
              <w:t>陈文蔚</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7E790FD">
            <w:pPr>
              <w:spacing w:line="240" w:lineRule="exact"/>
              <w:ind w:right="-105"/>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7E42497">
            <w:pPr>
              <w:jc w:val="center"/>
              <w:rPr>
                <w:rFonts w:hint="default" w:eastAsia="宋体"/>
                <w:lang w:val="en-US" w:eastAsia="zh-CN"/>
              </w:rPr>
            </w:pPr>
            <w:r>
              <w:rPr>
                <w:rFonts w:hint="eastAsia"/>
                <w:lang w:val="en-US" w:eastAsia="zh-CN"/>
              </w:rPr>
              <w:t>37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93FF536">
            <w:pPr>
              <w:spacing w:line="240" w:lineRule="exact"/>
              <w:ind w:left="-105" w:right="-105"/>
              <w:jc w:val="center"/>
            </w:pPr>
          </w:p>
        </w:tc>
      </w:tr>
    </w:tbl>
    <w:p w14:paraId="4F5769CB"/>
    <w:p w14:paraId="313E6A04"/>
    <w:p w14:paraId="70DFB890"/>
    <w:p w14:paraId="51F02423"/>
    <w:p w14:paraId="0D8225C2"/>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3679"/>
        <w:gridCol w:w="2595"/>
        <w:gridCol w:w="2295"/>
        <w:gridCol w:w="4994"/>
      </w:tblGrid>
      <w:tr w14:paraId="2D265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21E5C325">
            <w:pPr>
              <w:jc w:val="center"/>
              <w:rPr>
                <w:b/>
                <w:sz w:val="32"/>
              </w:rPr>
            </w:pPr>
            <w:r>
              <w:rPr>
                <w:rFonts w:hint="eastAsia" w:ascii="Times New Roman" w:hAnsi="Times New Roman" w:cs="宋体"/>
                <w:b/>
                <w:sz w:val="32"/>
                <w:lang w:bidi="ar"/>
              </w:rPr>
              <w:t>测绘专业初级技术人员</w:t>
            </w:r>
          </w:p>
        </w:tc>
      </w:tr>
      <w:tr w14:paraId="6FC82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56B3F0E9">
            <w:pPr>
              <w:jc w:val="center"/>
              <w:rPr>
                <w:b/>
                <w:sz w:val="24"/>
              </w:rPr>
            </w:pPr>
            <w:r>
              <w:rPr>
                <w:rFonts w:hint="eastAsia" w:ascii="Times New Roman" w:hAnsi="Times New Roman" w:cs="宋体"/>
                <w:b/>
                <w:sz w:val="24"/>
                <w:lang w:bidi="ar"/>
              </w:rPr>
              <w:t>序</w:t>
            </w:r>
          </w:p>
          <w:p w14:paraId="63D44E1D">
            <w:pPr>
              <w:jc w:val="center"/>
              <w:rPr>
                <w:b/>
                <w:sz w:val="24"/>
              </w:rPr>
            </w:pPr>
            <w:r>
              <w:rPr>
                <w:rFonts w:hint="eastAsia" w:ascii="Times New Roman" w:hAnsi="Times New Roman" w:cs="宋体"/>
                <w:b/>
                <w:sz w:val="24"/>
                <w:lang w:bidi="ar"/>
              </w:rPr>
              <w:t>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5629022">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604818E">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C778ACD">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7601E90">
            <w:pPr>
              <w:jc w:val="center"/>
              <w:rPr>
                <w:b/>
                <w:sz w:val="24"/>
              </w:rPr>
            </w:pPr>
            <w:r>
              <w:rPr>
                <w:rFonts w:hint="eastAsia" w:ascii="Times New Roman" w:hAnsi="Times New Roman" w:cs="宋体"/>
                <w:b/>
                <w:sz w:val="24"/>
                <w:lang w:bidi="ar"/>
              </w:rPr>
              <w:t>备注</w:t>
            </w:r>
          </w:p>
        </w:tc>
      </w:tr>
      <w:tr w14:paraId="3456C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06892B3F">
            <w:pPr>
              <w:jc w:val="center"/>
              <w:rPr>
                <w:rFonts w:hint="eastAsia" w:eastAsia="宋体"/>
                <w:lang w:val="en-US" w:eastAsia="zh-CN"/>
              </w:rPr>
            </w:pPr>
            <w:r>
              <w:rPr>
                <w:rFonts w:hint="eastAsia"/>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3B54BFC">
            <w:pPr>
              <w:spacing w:line="240" w:lineRule="exact"/>
              <w:ind w:left="-105" w:right="-105"/>
              <w:jc w:val="center"/>
              <w:rPr>
                <w:rFonts w:hint="default" w:eastAsia="宋体"/>
                <w:lang w:val="en-US" w:eastAsia="zh-CN"/>
              </w:rPr>
            </w:pPr>
            <w:r>
              <w:rPr>
                <w:rFonts w:hint="eastAsia"/>
                <w:lang w:val="en-US" w:eastAsia="zh-CN"/>
              </w:rPr>
              <w:t>冯永新</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70DA4C8">
            <w:pPr>
              <w:spacing w:line="240" w:lineRule="exact"/>
              <w:ind w:right="-105"/>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F7C502C">
            <w:pPr>
              <w:jc w:val="center"/>
              <w:rPr>
                <w:rFonts w:hint="default" w:eastAsia="宋体"/>
                <w:lang w:val="en-US" w:eastAsia="zh-CN"/>
              </w:rPr>
            </w:pPr>
            <w:r>
              <w:rPr>
                <w:rFonts w:hint="eastAsia"/>
                <w:lang w:val="en-US" w:eastAsia="zh-CN"/>
              </w:rPr>
              <w:t>34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F9A177B">
            <w:pPr>
              <w:spacing w:line="240" w:lineRule="exact"/>
              <w:ind w:left="-105" w:right="-105"/>
              <w:jc w:val="center"/>
            </w:pPr>
            <w:r>
              <w:rPr>
                <w:rFonts w:ascii="Times New Roman" w:hAnsi="Times New Roman"/>
                <w:lang w:bidi="ar"/>
              </w:rPr>
              <w:t>#</w:t>
            </w:r>
          </w:p>
        </w:tc>
      </w:tr>
      <w:tr w14:paraId="52BB9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0D6AD26C">
            <w:pPr>
              <w:jc w:val="center"/>
              <w:rPr>
                <w:rFonts w:hint="eastAsia" w:eastAsia="宋体"/>
                <w:lang w:val="en-US" w:eastAsia="zh-CN"/>
              </w:rPr>
            </w:pPr>
            <w:r>
              <w:rPr>
                <w:rFonts w:hint="eastAsia"/>
                <w:lang w:val="en-US" w:eastAsia="zh-CN"/>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4630CD0">
            <w:pPr>
              <w:spacing w:line="240" w:lineRule="exact"/>
              <w:ind w:left="-105" w:right="-105"/>
              <w:jc w:val="center"/>
              <w:rPr>
                <w:rFonts w:hint="default" w:eastAsia="宋体"/>
                <w:lang w:val="en-US" w:eastAsia="zh-CN"/>
              </w:rPr>
            </w:pPr>
            <w:r>
              <w:rPr>
                <w:rFonts w:hint="eastAsia"/>
                <w:lang w:val="en-US" w:eastAsia="zh-CN"/>
              </w:rPr>
              <w:t>古子奇</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F63E909">
            <w:pPr>
              <w:spacing w:line="240" w:lineRule="exact"/>
              <w:ind w:right="-105"/>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DCD922B">
            <w:pPr>
              <w:jc w:val="center"/>
              <w:rPr>
                <w:rFonts w:hint="default" w:eastAsia="宋体"/>
                <w:lang w:val="en-US" w:eastAsia="zh-CN"/>
              </w:rPr>
            </w:pPr>
            <w:r>
              <w:rPr>
                <w:rFonts w:hint="eastAsia"/>
                <w:lang w:val="en-US" w:eastAsia="zh-CN"/>
              </w:rPr>
              <w:t>38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EFA0854">
            <w:pPr>
              <w:spacing w:line="240" w:lineRule="exact"/>
              <w:ind w:left="-105" w:right="-105"/>
              <w:jc w:val="center"/>
            </w:pPr>
          </w:p>
        </w:tc>
      </w:tr>
      <w:tr w14:paraId="04924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4B79D2B1">
            <w:pPr>
              <w:jc w:val="center"/>
              <w:rPr>
                <w:rFonts w:hint="eastAsia" w:eastAsia="宋体"/>
                <w:lang w:val="en-US" w:eastAsia="zh-CN"/>
              </w:rPr>
            </w:pPr>
            <w:r>
              <w:rPr>
                <w:rFonts w:hint="eastAsia"/>
                <w:lang w:val="en-US" w:eastAsia="zh-CN"/>
              </w:rPr>
              <w:t>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621276C2">
            <w:pPr>
              <w:spacing w:line="240" w:lineRule="exact"/>
              <w:ind w:left="-105" w:right="-105"/>
              <w:jc w:val="center"/>
              <w:rPr>
                <w:rFonts w:hint="default" w:eastAsia="宋体"/>
                <w:lang w:val="en-US" w:eastAsia="zh-CN"/>
              </w:rPr>
            </w:pPr>
            <w:r>
              <w:rPr>
                <w:rFonts w:hint="eastAsia"/>
                <w:lang w:val="en-US" w:eastAsia="zh-CN"/>
              </w:rPr>
              <w:t>邹智尧</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DF01EA8">
            <w:pPr>
              <w:spacing w:line="240" w:lineRule="exact"/>
              <w:ind w:right="-105"/>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20B4D4F">
            <w:pPr>
              <w:jc w:val="center"/>
              <w:rPr>
                <w:rFonts w:hint="default" w:eastAsia="宋体"/>
                <w:lang w:val="en-US" w:eastAsia="zh-CN"/>
              </w:rPr>
            </w:pPr>
            <w:r>
              <w:rPr>
                <w:rFonts w:hint="eastAsia"/>
                <w:lang w:val="en-US" w:eastAsia="zh-CN"/>
              </w:rPr>
              <w:t>30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ACA8D88">
            <w:pPr>
              <w:spacing w:line="240" w:lineRule="exact"/>
              <w:ind w:left="-105" w:right="-105"/>
              <w:jc w:val="center"/>
            </w:pPr>
          </w:p>
        </w:tc>
      </w:tr>
    </w:tbl>
    <w:p w14:paraId="2A52E829">
      <w:r>
        <w:rPr>
          <w:rFonts w:ascii="Times New Roman" w:hAnsi="Times New Roman"/>
          <w:lang w:bidi="ar"/>
        </w:rPr>
        <w:t>#</w:t>
      </w:r>
      <w:r>
        <w:rPr>
          <w:rFonts w:hint="eastAsia" w:ascii="Times New Roman" w:hAnsi="Times New Roman" w:cs="宋体"/>
          <w:lang w:bidi="ar"/>
        </w:rPr>
        <w:t>为</w:t>
      </w:r>
      <w:r>
        <w:rPr>
          <w:rFonts w:ascii="Times New Roman" w:hAnsi="Times New Roman"/>
          <w:lang w:bidi="ar"/>
        </w:rPr>
        <w:t>2021</w:t>
      </w:r>
      <w:r>
        <w:rPr>
          <w:rFonts w:hint="eastAsia" w:ascii="Times New Roman" w:hAnsi="Times New Roman" w:cs="宋体"/>
          <w:lang w:bidi="ar"/>
        </w:rPr>
        <w:t>版新测绘资质管理政策实施前测绘单位已有的用于申请测绘资质的专业技术人员。按照《测绘资质分类分级标准》，这部分人员在不离开本单位的前提下，实行“老人老办法”，原认定的专业和职称等级继续有效。</w:t>
      </w:r>
    </w:p>
    <w:p w14:paraId="53443BB8"/>
    <w:p w14:paraId="6DCEFD8F"/>
    <w:p w14:paraId="431E80A1"/>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3571"/>
        <w:gridCol w:w="2610"/>
        <w:gridCol w:w="2295"/>
        <w:gridCol w:w="4979"/>
      </w:tblGrid>
      <w:tr w14:paraId="75C75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79007782">
            <w:pPr>
              <w:jc w:val="center"/>
              <w:rPr>
                <w:b/>
                <w:sz w:val="32"/>
              </w:rPr>
            </w:pPr>
            <w:r>
              <w:rPr>
                <w:rFonts w:hint="eastAsia" w:ascii="Times New Roman" w:hAnsi="Times New Roman" w:cs="宋体"/>
                <w:b/>
                <w:sz w:val="32"/>
                <w:lang w:bidi="ar"/>
              </w:rPr>
              <w:t>测绘相关专业技术人员</w:t>
            </w:r>
          </w:p>
        </w:tc>
      </w:tr>
      <w:tr w14:paraId="06655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5492DCB0">
            <w:pPr>
              <w:jc w:val="center"/>
              <w:rPr>
                <w:b/>
                <w:sz w:val="24"/>
              </w:rPr>
            </w:pPr>
            <w:r>
              <w:rPr>
                <w:rFonts w:hint="eastAsia" w:ascii="Times New Roman" w:hAnsi="Times New Roman" w:cs="宋体"/>
                <w:b/>
                <w:sz w:val="24"/>
                <w:lang w:bidi="ar"/>
              </w:rPr>
              <w:t>序</w:t>
            </w:r>
          </w:p>
          <w:p w14:paraId="13664AD6">
            <w:pPr>
              <w:jc w:val="center"/>
              <w:rPr>
                <w:b/>
                <w:sz w:val="24"/>
              </w:rPr>
            </w:pPr>
            <w:r>
              <w:rPr>
                <w:rFonts w:hint="eastAsia" w:ascii="Times New Roman" w:hAnsi="Times New Roman" w:cs="宋体"/>
                <w:b/>
                <w:sz w:val="24"/>
                <w:lang w:bidi="ar"/>
              </w:rPr>
              <w:t>号</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78F5544E">
            <w:pPr>
              <w:jc w:val="center"/>
              <w:rPr>
                <w:b/>
                <w:sz w:val="24"/>
              </w:rPr>
            </w:pPr>
            <w:r>
              <w:rPr>
                <w:rFonts w:hint="eastAsia" w:ascii="Times New Roman" w:hAnsi="Times New Roman" w:cs="宋体"/>
                <w:b/>
                <w:sz w:val="24"/>
                <w:lang w:bidi="ar"/>
              </w:rPr>
              <w:t>姓名</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5C108513">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6BB01F4">
            <w:pPr>
              <w:jc w:val="center"/>
              <w:rPr>
                <w:b/>
                <w:sz w:val="24"/>
              </w:rPr>
            </w:pPr>
            <w:r>
              <w:rPr>
                <w:rFonts w:hint="eastAsia" w:ascii="Times New Roman" w:hAnsi="Times New Roman" w:cs="宋体"/>
                <w:b/>
                <w:sz w:val="24"/>
                <w:lang w:bidi="ar"/>
              </w:rPr>
              <w:t>年龄</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5E425BDC">
            <w:pPr>
              <w:jc w:val="center"/>
              <w:rPr>
                <w:b/>
                <w:sz w:val="24"/>
              </w:rPr>
            </w:pPr>
            <w:r>
              <w:rPr>
                <w:rFonts w:hint="eastAsia" w:ascii="Times New Roman" w:hAnsi="Times New Roman" w:cs="宋体"/>
                <w:b/>
                <w:sz w:val="24"/>
                <w:lang w:bidi="ar"/>
              </w:rPr>
              <w:t>专业</w:t>
            </w:r>
          </w:p>
        </w:tc>
      </w:tr>
      <w:tr w14:paraId="5129C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0D027C96">
            <w:pPr>
              <w:jc w:val="center"/>
              <w:rPr>
                <w:rFonts w:hint="eastAsia" w:eastAsia="宋体"/>
                <w:lang w:val="en-US" w:eastAsia="zh-CN"/>
              </w:rPr>
            </w:pPr>
            <w:r>
              <w:rPr>
                <w:rFonts w:hint="eastAsia"/>
                <w:lang w:val="en-US" w:eastAsia="zh-CN"/>
              </w:rPr>
              <w:t>1</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0DFBCB1B">
            <w:pPr>
              <w:spacing w:line="240" w:lineRule="exact"/>
              <w:ind w:left="-105" w:right="-105"/>
              <w:jc w:val="center"/>
              <w:rPr>
                <w:rFonts w:hint="default" w:eastAsia="宋体"/>
                <w:lang w:val="en-US" w:eastAsia="zh-CN"/>
              </w:rPr>
            </w:pPr>
            <w:r>
              <w:rPr>
                <w:rFonts w:hint="eastAsia"/>
                <w:lang w:val="en-US" w:eastAsia="zh-CN"/>
              </w:rPr>
              <w:t>蓝天</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0D613E3B">
            <w:pPr>
              <w:spacing w:line="240" w:lineRule="exact"/>
              <w:ind w:right="-105"/>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F1248B0">
            <w:pPr>
              <w:spacing w:line="240" w:lineRule="exact"/>
              <w:ind w:left="-105" w:right="-105"/>
              <w:jc w:val="center"/>
              <w:rPr>
                <w:rFonts w:hint="default" w:eastAsia="宋体"/>
                <w:lang w:val="en-US" w:eastAsia="zh-CN"/>
              </w:rPr>
            </w:pPr>
            <w:r>
              <w:rPr>
                <w:rFonts w:hint="eastAsia"/>
                <w:lang w:val="en-US" w:eastAsia="zh-CN"/>
              </w:rPr>
              <w:t>34</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31747B62">
            <w:pPr>
              <w:spacing w:line="240" w:lineRule="exact"/>
              <w:ind w:left="-105" w:right="-105"/>
              <w:jc w:val="center"/>
            </w:pPr>
          </w:p>
        </w:tc>
      </w:tr>
      <w:tr w14:paraId="536E7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10C1DE34">
            <w:pPr>
              <w:jc w:val="center"/>
            </w:pPr>
          </w:p>
        </w:tc>
        <w:tc>
          <w:tcPr>
            <w:tcW w:w="3571" w:type="dxa"/>
            <w:tcBorders>
              <w:top w:val="single" w:color="auto" w:sz="4" w:space="0"/>
              <w:left w:val="single" w:color="auto" w:sz="4" w:space="0"/>
              <w:bottom w:val="single" w:color="auto" w:sz="4" w:space="0"/>
              <w:right w:val="single" w:color="auto" w:sz="4" w:space="0"/>
            </w:tcBorders>
            <w:noWrap w:val="0"/>
            <w:vAlign w:val="center"/>
          </w:tcPr>
          <w:p w14:paraId="3E647703">
            <w:pPr>
              <w:spacing w:line="240" w:lineRule="exact"/>
              <w:ind w:left="-105" w:right="-105"/>
              <w:jc w:val="center"/>
            </w:pPr>
          </w:p>
        </w:tc>
        <w:tc>
          <w:tcPr>
            <w:tcW w:w="2610" w:type="dxa"/>
            <w:tcBorders>
              <w:top w:val="single" w:color="auto" w:sz="4" w:space="0"/>
              <w:left w:val="single" w:color="auto" w:sz="4" w:space="0"/>
              <w:bottom w:val="single" w:color="auto" w:sz="4" w:space="0"/>
              <w:right w:val="single" w:color="auto" w:sz="4" w:space="0"/>
            </w:tcBorders>
            <w:noWrap w:val="0"/>
            <w:vAlign w:val="center"/>
          </w:tcPr>
          <w:p w14:paraId="770C9C53">
            <w:pPr>
              <w:spacing w:line="240" w:lineRule="exact"/>
              <w:ind w:right="-105"/>
              <w:jc w:val="center"/>
            </w:pP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60A2BB8">
            <w:pPr>
              <w:spacing w:line="240" w:lineRule="exact"/>
              <w:ind w:left="-105" w:right="-105"/>
              <w:jc w:val="center"/>
            </w:pPr>
          </w:p>
        </w:tc>
        <w:tc>
          <w:tcPr>
            <w:tcW w:w="4979" w:type="dxa"/>
            <w:tcBorders>
              <w:top w:val="single" w:color="auto" w:sz="4" w:space="0"/>
              <w:left w:val="single" w:color="auto" w:sz="4" w:space="0"/>
              <w:bottom w:val="single" w:color="auto" w:sz="4" w:space="0"/>
              <w:right w:val="single" w:color="auto" w:sz="4" w:space="0"/>
            </w:tcBorders>
            <w:noWrap w:val="0"/>
            <w:vAlign w:val="center"/>
          </w:tcPr>
          <w:p w14:paraId="15E75D7C">
            <w:pPr>
              <w:spacing w:line="240" w:lineRule="exact"/>
              <w:ind w:left="-105" w:right="-105"/>
              <w:jc w:val="center"/>
            </w:pPr>
          </w:p>
        </w:tc>
      </w:tr>
    </w:tbl>
    <w:p w14:paraId="1A4EC32E"/>
    <w:p w14:paraId="7901D688">
      <w:pPr>
        <w:jc w:val="center"/>
        <w:rPr>
          <w:b/>
          <w:sz w:val="44"/>
          <w:szCs w:val="44"/>
        </w:rPr>
      </w:pPr>
    </w:p>
    <w:p w14:paraId="0C7A7EBD">
      <w:pPr>
        <w:jc w:val="center"/>
        <w:rPr>
          <w:b/>
          <w:sz w:val="44"/>
          <w:szCs w:val="44"/>
        </w:rPr>
      </w:pPr>
    </w:p>
    <w:p w14:paraId="4019DCDC">
      <w:pPr>
        <w:jc w:val="center"/>
      </w:pPr>
      <w:r>
        <w:rPr>
          <w:rFonts w:hint="eastAsia" w:ascii="Times New Roman" w:hAnsi="Times New Roman" w:cs="宋体"/>
          <w:b/>
          <w:sz w:val="44"/>
          <w:szCs w:val="44"/>
          <w:lang w:bidi="ar"/>
        </w:rPr>
        <w:t>三、技术装备</w:t>
      </w:r>
    </w:p>
    <w:p w14:paraId="5689683F"/>
    <w:tbl>
      <w:tblPr>
        <w:tblStyle w:val="6"/>
        <w:tblpPr w:leftFromText="180" w:rightFromText="180" w:vertAnchor="text" w:horzAnchor="page" w:tblpX="1432" w:tblpY="3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67BD2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497E228F">
            <w:pPr>
              <w:jc w:val="center"/>
              <w:rPr>
                <w:b/>
                <w:sz w:val="32"/>
                <w:szCs w:val="32"/>
              </w:rPr>
            </w:pPr>
            <w:r>
              <w:rPr>
                <w:rFonts w:hint="eastAsia" w:ascii="Times New Roman" w:hAnsi="Times New Roman" w:cs="宋体"/>
                <w:b/>
                <w:sz w:val="32"/>
                <w:szCs w:val="32"/>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062FA6B">
            <w:pPr>
              <w:jc w:val="center"/>
              <w:rPr>
                <w:b/>
                <w:sz w:val="32"/>
                <w:szCs w:val="32"/>
              </w:rPr>
            </w:pPr>
            <w:r>
              <w:rPr>
                <w:rFonts w:hint="eastAsia" w:ascii="Times New Roman" w:hAnsi="Times New Roman" w:cs="宋体"/>
                <w:b/>
                <w:sz w:val="32"/>
                <w:szCs w:val="32"/>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E967A7C">
            <w:pPr>
              <w:jc w:val="center"/>
              <w:rPr>
                <w:b/>
                <w:sz w:val="32"/>
                <w:szCs w:val="32"/>
              </w:rPr>
            </w:pPr>
            <w:r>
              <w:rPr>
                <w:rFonts w:hint="eastAsia" w:ascii="Times New Roman" w:hAnsi="Times New Roman" w:cs="宋体"/>
                <w:b/>
                <w:sz w:val="32"/>
                <w:szCs w:val="32"/>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C129F66">
            <w:pPr>
              <w:jc w:val="center"/>
              <w:rPr>
                <w:b/>
                <w:sz w:val="32"/>
                <w:szCs w:val="32"/>
              </w:rPr>
            </w:pPr>
            <w:r>
              <w:rPr>
                <w:rFonts w:hint="eastAsia" w:ascii="Times New Roman" w:hAnsi="Times New Roman" w:cs="宋体"/>
                <w:b/>
                <w:sz w:val="32"/>
                <w:szCs w:val="32"/>
                <w:lang w:bidi="ar"/>
              </w:rPr>
              <w:t>数量</w:t>
            </w:r>
          </w:p>
        </w:tc>
      </w:tr>
      <w:tr w14:paraId="6C7FE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639BDB8E">
            <w:pPr>
              <w:spacing w:line="240" w:lineRule="exact"/>
              <w:ind w:right="-105"/>
              <w:jc w:val="center"/>
              <w:rPr>
                <w:rFonts w:hint="eastAsia"/>
                <w:lang w:val="en-US" w:eastAsia="zh-CN"/>
              </w:rPr>
            </w:pPr>
            <w:r>
              <w:rPr>
                <w:rFonts w:hint="eastAsia"/>
                <w:lang w:val="en-US" w:eastAsia="zh-CN"/>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1B080A0">
            <w:pPr>
              <w:spacing w:line="240" w:lineRule="exact"/>
              <w:ind w:right="-105"/>
              <w:jc w:val="center"/>
              <w:rPr>
                <w:rFonts w:hint="eastAsia"/>
                <w:lang w:val="en-US" w:eastAsia="zh-CN"/>
              </w:rPr>
            </w:pPr>
            <w:r>
              <w:rPr>
                <w:rFonts w:hint="eastAsia"/>
                <w:lang w:val="en-US" w:eastAsia="zh-CN"/>
              </w:rPr>
              <w:t>地理信息处理软件</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0EC30419">
            <w:pPr>
              <w:spacing w:line="240" w:lineRule="exact"/>
              <w:ind w:right="-105"/>
              <w:jc w:val="center"/>
              <w:rPr>
                <w:rFonts w:hint="eastAsia"/>
                <w:lang w:val="en-US" w:eastAsia="zh-CN"/>
              </w:rPr>
            </w:pPr>
            <w:r>
              <w:rPr>
                <w:rFonts w:hint="eastAsia"/>
                <w:lang w:val="en-US" w:eastAsia="zh-CN"/>
              </w:rPr>
              <w:t>南方地形地籍成图软件</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487C3FA3">
            <w:pPr>
              <w:spacing w:line="240" w:lineRule="exact"/>
              <w:ind w:right="-105"/>
              <w:jc w:val="center"/>
              <w:rPr>
                <w:rFonts w:hint="eastAsia"/>
                <w:lang w:val="en-US" w:eastAsia="zh-CN"/>
              </w:rPr>
            </w:pPr>
            <w:r>
              <w:rPr>
                <w:rFonts w:hint="eastAsia"/>
                <w:lang w:val="en-US" w:eastAsia="zh-CN"/>
              </w:rPr>
              <w:t>1</w:t>
            </w:r>
          </w:p>
        </w:tc>
      </w:tr>
      <w:tr w14:paraId="3B3BF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6EF23195">
            <w:pPr>
              <w:spacing w:line="240" w:lineRule="exact"/>
              <w:ind w:right="-105"/>
              <w:jc w:val="center"/>
              <w:rPr>
                <w:rFonts w:hint="eastAsia"/>
                <w:lang w:val="en-US" w:eastAsia="zh-CN"/>
              </w:rPr>
            </w:pPr>
            <w:r>
              <w:rPr>
                <w:rFonts w:hint="eastAsia"/>
                <w:lang w:val="en-US" w:eastAsia="zh-CN"/>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AA34454">
            <w:pPr>
              <w:spacing w:line="240" w:lineRule="exact"/>
              <w:ind w:right="-105"/>
              <w:jc w:val="center"/>
              <w:rPr>
                <w:rFonts w:hint="eastAsia"/>
                <w:lang w:val="en-US" w:eastAsia="zh-CN"/>
              </w:rPr>
            </w:pPr>
            <w:r>
              <w:rPr>
                <w:rFonts w:hint="eastAsia"/>
                <w:lang w:val="en-US" w:eastAsia="zh-CN"/>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524A2D0D">
            <w:pPr>
              <w:spacing w:line="240" w:lineRule="exact"/>
              <w:ind w:right="-105"/>
              <w:jc w:val="center"/>
              <w:rPr>
                <w:rFonts w:hint="eastAsia"/>
                <w:lang w:val="en-US" w:eastAsia="zh-CN"/>
              </w:rPr>
            </w:pPr>
            <w:r>
              <w:rPr>
                <w:rFonts w:hint="eastAsia"/>
                <w:lang w:val="en-US" w:eastAsia="zh-CN"/>
              </w:rPr>
              <w:t>GTS-1002</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30CE24CE">
            <w:pPr>
              <w:spacing w:line="240" w:lineRule="exact"/>
              <w:ind w:right="-105"/>
              <w:jc w:val="center"/>
              <w:rPr>
                <w:rFonts w:hint="eastAsia"/>
                <w:lang w:val="en-US" w:eastAsia="zh-CN"/>
              </w:rPr>
            </w:pPr>
            <w:r>
              <w:rPr>
                <w:rFonts w:hint="eastAsia"/>
                <w:lang w:val="en-US" w:eastAsia="zh-CN"/>
              </w:rPr>
              <w:t>1</w:t>
            </w:r>
          </w:p>
        </w:tc>
      </w:tr>
      <w:tr w14:paraId="360A2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18580BC0">
            <w:pPr>
              <w:spacing w:line="240" w:lineRule="exact"/>
              <w:ind w:right="-105"/>
              <w:jc w:val="center"/>
              <w:rPr>
                <w:rFonts w:hint="eastAsia"/>
                <w:lang w:val="en-US" w:eastAsia="zh-CN"/>
              </w:rPr>
            </w:pPr>
            <w:r>
              <w:rPr>
                <w:rFonts w:hint="eastAsia"/>
                <w:lang w:val="en-US" w:eastAsia="zh-CN"/>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2D5D405">
            <w:pPr>
              <w:spacing w:line="240" w:lineRule="exact"/>
              <w:ind w:right="-105"/>
              <w:jc w:val="center"/>
              <w:rPr>
                <w:rFonts w:hint="eastAsia"/>
                <w:lang w:val="en-US" w:eastAsia="zh-CN"/>
              </w:rPr>
            </w:pPr>
            <w:r>
              <w:rPr>
                <w:rFonts w:hint="eastAsia"/>
                <w:lang w:val="en-US" w:eastAsia="zh-CN"/>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6E668C87">
            <w:pPr>
              <w:spacing w:line="240" w:lineRule="exact"/>
              <w:ind w:right="-105"/>
              <w:jc w:val="center"/>
              <w:rPr>
                <w:rFonts w:hint="eastAsia"/>
                <w:lang w:val="en-US" w:eastAsia="zh-CN"/>
              </w:rPr>
            </w:pPr>
            <w:r>
              <w:rPr>
                <w:rFonts w:hint="eastAsia"/>
                <w:lang w:val="en-US" w:eastAsia="zh-CN"/>
              </w:rPr>
              <w:t>南方极点</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00A80FC4">
            <w:pPr>
              <w:spacing w:line="240" w:lineRule="exact"/>
              <w:ind w:right="-105"/>
              <w:jc w:val="center"/>
              <w:rPr>
                <w:rFonts w:hint="eastAsia"/>
                <w:lang w:val="en-US" w:eastAsia="zh-CN"/>
              </w:rPr>
            </w:pPr>
            <w:r>
              <w:rPr>
                <w:rFonts w:hint="eastAsia"/>
                <w:lang w:val="en-US" w:eastAsia="zh-CN"/>
              </w:rPr>
              <w:t>1</w:t>
            </w:r>
          </w:p>
        </w:tc>
      </w:tr>
      <w:tr w14:paraId="4CD7B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280C2F42">
            <w:pPr>
              <w:spacing w:line="240" w:lineRule="exact"/>
              <w:ind w:right="-105"/>
              <w:jc w:val="center"/>
              <w:rPr>
                <w:rFonts w:hint="eastAsia"/>
                <w:lang w:val="en-US" w:eastAsia="zh-CN"/>
              </w:rPr>
            </w:pPr>
            <w:r>
              <w:rPr>
                <w:rFonts w:hint="eastAsia"/>
                <w:lang w:val="en-US" w:eastAsia="zh-CN"/>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64DFBBB">
            <w:pPr>
              <w:spacing w:line="240" w:lineRule="exact"/>
              <w:ind w:right="-105"/>
              <w:jc w:val="center"/>
              <w:rPr>
                <w:rFonts w:hint="eastAsia"/>
                <w:lang w:val="en-US" w:eastAsia="zh-CN"/>
              </w:rPr>
            </w:pPr>
            <w:r>
              <w:rPr>
                <w:rFonts w:hint="eastAsia"/>
                <w:lang w:val="en-US" w:eastAsia="zh-CN"/>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748985AD">
            <w:pPr>
              <w:spacing w:line="240" w:lineRule="exact"/>
              <w:ind w:right="-105"/>
              <w:jc w:val="center"/>
              <w:rPr>
                <w:rFonts w:hint="eastAsia"/>
                <w:lang w:val="en-US" w:eastAsia="zh-CN"/>
              </w:rPr>
            </w:pPr>
            <w:r>
              <w:rPr>
                <w:rFonts w:hint="eastAsia"/>
                <w:lang w:val="en-US" w:eastAsia="zh-CN"/>
              </w:rPr>
              <w:t>南方极点</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7186F046">
            <w:pPr>
              <w:spacing w:line="240" w:lineRule="exact"/>
              <w:ind w:right="-105"/>
              <w:jc w:val="center"/>
              <w:rPr>
                <w:rFonts w:hint="eastAsia"/>
                <w:lang w:val="en-US" w:eastAsia="zh-CN"/>
              </w:rPr>
            </w:pPr>
            <w:r>
              <w:rPr>
                <w:rFonts w:hint="eastAsia"/>
                <w:lang w:val="en-US" w:eastAsia="zh-CN"/>
              </w:rPr>
              <w:t>1</w:t>
            </w:r>
          </w:p>
        </w:tc>
      </w:tr>
      <w:tr w14:paraId="7690F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5B2E9399">
            <w:pPr>
              <w:spacing w:line="240" w:lineRule="exact"/>
              <w:ind w:right="-105"/>
              <w:jc w:val="center"/>
              <w:rPr>
                <w:rFonts w:hint="eastAsia"/>
                <w:lang w:val="en-US" w:eastAsia="zh-CN"/>
              </w:rPr>
            </w:pPr>
            <w:r>
              <w:rPr>
                <w:rFonts w:hint="eastAsia"/>
                <w:lang w:val="en-US" w:eastAsia="zh-CN"/>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DF1A0AA">
            <w:pPr>
              <w:spacing w:line="240" w:lineRule="exact"/>
              <w:ind w:right="-105"/>
              <w:jc w:val="center"/>
              <w:rPr>
                <w:rFonts w:hint="eastAsia"/>
                <w:lang w:val="en-US" w:eastAsia="zh-CN"/>
              </w:rPr>
            </w:pPr>
            <w:r>
              <w:rPr>
                <w:rFonts w:hint="eastAsia"/>
                <w:lang w:val="en-US" w:eastAsia="zh-CN"/>
              </w:rPr>
              <w:t>地下管线探测仪</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06246B30">
            <w:pPr>
              <w:spacing w:line="240" w:lineRule="exact"/>
              <w:ind w:right="-105"/>
              <w:jc w:val="center"/>
              <w:rPr>
                <w:rFonts w:hint="eastAsia"/>
                <w:lang w:val="en-US" w:eastAsia="zh-CN"/>
              </w:rPr>
            </w:pPr>
            <w:r>
              <w:rPr>
                <w:rFonts w:hint="eastAsia"/>
                <w:lang w:val="en-US" w:eastAsia="zh-CN"/>
              </w:rPr>
              <w:t>英国雷迪RD8200</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47441D21">
            <w:pPr>
              <w:spacing w:line="240" w:lineRule="exact"/>
              <w:ind w:right="-105"/>
              <w:jc w:val="center"/>
              <w:rPr>
                <w:rFonts w:hint="eastAsia"/>
                <w:lang w:val="en-US" w:eastAsia="zh-CN"/>
              </w:rPr>
            </w:pPr>
            <w:r>
              <w:rPr>
                <w:rFonts w:hint="eastAsia"/>
                <w:lang w:val="en-US" w:eastAsia="zh-CN"/>
              </w:rPr>
              <w:t>1</w:t>
            </w:r>
          </w:p>
        </w:tc>
      </w:tr>
      <w:tr w14:paraId="51D2B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0986C31C">
            <w:pPr>
              <w:spacing w:line="240" w:lineRule="exact"/>
              <w:ind w:right="-105"/>
              <w:jc w:val="center"/>
              <w:rPr>
                <w:rFonts w:hint="eastAsia"/>
                <w:lang w:val="en-US" w:eastAsia="zh-CN"/>
              </w:rPr>
            </w:pPr>
            <w:r>
              <w:rPr>
                <w:rFonts w:hint="eastAsia"/>
                <w:lang w:val="en-US" w:eastAsia="zh-CN"/>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A256A79">
            <w:pPr>
              <w:spacing w:line="240" w:lineRule="exact"/>
              <w:ind w:right="-105"/>
              <w:jc w:val="center"/>
              <w:rPr>
                <w:rFonts w:hint="eastAsia"/>
                <w:lang w:val="en-US" w:eastAsia="zh-CN"/>
              </w:rPr>
            </w:pPr>
            <w:r>
              <w:rPr>
                <w:rFonts w:hint="eastAsia"/>
                <w:lang w:val="en-US" w:eastAsia="zh-CN"/>
              </w:rPr>
              <w:t>水准仪（不低于S1级精度）</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3778E9BF">
            <w:pPr>
              <w:spacing w:line="240" w:lineRule="exact"/>
              <w:ind w:right="-105"/>
              <w:jc w:val="center"/>
              <w:rPr>
                <w:rFonts w:hint="default"/>
                <w:lang w:val="en-US" w:eastAsia="zh-CN"/>
              </w:rPr>
            </w:pPr>
            <w:r>
              <w:rPr>
                <w:rFonts w:hint="eastAsia"/>
                <w:lang w:val="en-US" w:eastAsia="zh-CN"/>
              </w:rPr>
              <w:t>DL-2003A</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145EA670">
            <w:pPr>
              <w:spacing w:line="240" w:lineRule="exact"/>
              <w:ind w:right="-105"/>
              <w:jc w:val="center"/>
              <w:rPr>
                <w:rFonts w:hint="eastAsia"/>
                <w:lang w:val="en-US" w:eastAsia="zh-CN"/>
              </w:rPr>
            </w:pPr>
            <w:r>
              <w:rPr>
                <w:rFonts w:hint="eastAsia"/>
                <w:lang w:val="en-US" w:eastAsia="zh-CN"/>
              </w:rPr>
              <w:t>1</w:t>
            </w:r>
          </w:p>
        </w:tc>
      </w:tr>
      <w:tr w14:paraId="3FC37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7EFD1A02">
            <w:pPr>
              <w:spacing w:line="240" w:lineRule="exact"/>
              <w:ind w:right="-105"/>
              <w:jc w:val="center"/>
              <w:rPr>
                <w:rFonts w:hint="eastAsia"/>
                <w:lang w:val="en-US" w:eastAsia="zh-CN"/>
              </w:rPr>
            </w:pPr>
            <w:r>
              <w:rPr>
                <w:rFonts w:hint="eastAsia"/>
                <w:lang w:val="en-US" w:eastAsia="zh-CN"/>
              </w:rPr>
              <w:t>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B3EB83B">
            <w:pPr>
              <w:spacing w:line="240" w:lineRule="exact"/>
              <w:ind w:right="-105"/>
              <w:jc w:val="center"/>
              <w:rPr>
                <w:rFonts w:hint="eastAsia"/>
                <w:lang w:val="en-US" w:eastAsia="zh-CN"/>
              </w:rPr>
            </w:pPr>
            <w:r>
              <w:rPr>
                <w:rFonts w:hint="eastAsia"/>
                <w:lang w:val="en-US" w:eastAsia="zh-CN"/>
              </w:rPr>
              <w:t>手持测距仪</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3FB2E776">
            <w:pPr>
              <w:spacing w:line="240" w:lineRule="exact"/>
              <w:ind w:right="-105"/>
              <w:jc w:val="center"/>
              <w:rPr>
                <w:rFonts w:hint="eastAsia"/>
                <w:lang w:val="en-US" w:eastAsia="zh-CN"/>
              </w:rPr>
            </w:pPr>
            <w:r>
              <w:rPr>
                <w:rFonts w:hint="eastAsia"/>
                <w:lang w:val="en-US" w:eastAsia="zh-CN"/>
              </w:rPr>
              <w:t>仪徕卡DISTOtmD2</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340287B9">
            <w:pPr>
              <w:spacing w:line="240" w:lineRule="exact"/>
              <w:ind w:right="-105"/>
              <w:jc w:val="center"/>
              <w:rPr>
                <w:rFonts w:hint="eastAsia"/>
                <w:lang w:val="en-US" w:eastAsia="zh-CN"/>
              </w:rPr>
            </w:pPr>
            <w:r>
              <w:rPr>
                <w:rFonts w:hint="eastAsia"/>
                <w:lang w:val="en-US" w:eastAsia="zh-CN"/>
              </w:rPr>
              <w:t>1</w:t>
            </w:r>
          </w:p>
        </w:tc>
      </w:tr>
      <w:tr w14:paraId="415DC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0A998B7D">
            <w:pPr>
              <w:spacing w:line="240" w:lineRule="exact"/>
              <w:ind w:right="-105"/>
              <w:jc w:val="center"/>
              <w:rPr>
                <w:rFonts w:hint="eastAsia"/>
                <w:lang w:val="en-US" w:eastAsia="zh-CN"/>
              </w:rPr>
            </w:pP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68D4945">
            <w:pPr>
              <w:spacing w:line="240" w:lineRule="exact"/>
              <w:ind w:right="-105"/>
              <w:jc w:val="center"/>
              <w:rPr>
                <w:rFonts w:hint="eastAsia"/>
                <w:lang w:val="en-US" w:eastAsia="zh-CN"/>
              </w:rPr>
            </w:pPr>
          </w:p>
        </w:tc>
        <w:tc>
          <w:tcPr>
            <w:tcW w:w="5703" w:type="dxa"/>
            <w:tcBorders>
              <w:top w:val="single" w:color="auto" w:sz="4" w:space="0"/>
              <w:left w:val="single" w:color="auto" w:sz="4" w:space="0"/>
              <w:bottom w:val="single" w:color="auto" w:sz="4" w:space="0"/>
              <w:right w:val="single" w:color="auto" w:sz="4" w:space="0"/>
            </w:tcBorders>
            <w:noWrap w:val="0"/>
            <w:vAlign w:val="top"/>
          </w:tcPr>
          <w:p w14:paraId="3B6213DD">
            <w:pPr>
              <w:spacing w:line="240" w:lineRule="exact"/>
              <w:ind w:right="-105"/>
              <w:jc w:val="center"/>
              <w:rPr>
                <w:rFonts w:hint="eastAsia"/>
                <w:lang w:val="en-US" w:eastAsia="zh-CN"/>
              </w:rPr>
            </w:pPr>
          </w:p>
        </w:tc>
        <w:tc>
          <w:tcPr>
            <w:tcW w:w="1256" w:type="dxa"/>
            <w:tcBorders>
              <w:top w:val="single" w:color="auto" w:sz="4" w:space="0"/>
              <w:left w:val="single" w:color="auto" w:sz="4" w:space="0"/>
              <w:bottom w:val="single" w:color="auto" w:sz="4" w:space="0"/>
              <w:right w:val="single" w:color="auto" w:sz="4" w:space="0"/>
            </w:tcBorders>
            <w:noWrap w:val="0"/>
            <w:vAlign w:val="top"/>
          </w:tcPr>
          <w:p w14:paraId="17BEBB19">
            <w:pPr>
              <w:spacing w:line="240" w:lineRule="exact"/>
              <w:ind w:right="-105"/>
              <w:jc w:val="center"/>
              <w:rPr>
                <w:rFonts w:hint="eastAsia"/>
                <w:lang w:val="en-US" w:eastAsia="zh-CN"/>
              </w:rPr>
            </w:pPr>
          </w:p>
        </w:tc>
      </w:tr>
      <w:tr w14:paraId="27AD5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5D8F62CC">
            <w:pPr>
              <w:spacing w:line="240" w:lineRule="exact"/>
              <w:ind w:right="-105"/>
              <w:jc w:val="center"/>
              <w:rPr>
                <w:rFonts w:hint="eastAsia"/>
                <w:lang w:val="en-US" w:eastAsia="zh-CN"/>
              </w:rPr>
            </w:pP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C1D82CB">
            <w:pPr>
              <w:spacing w:line="240" w:lineRule="exact"/>
              <w:ind w:right="-105"/>
              <w:jc w:val="center"/>
              <w:rPr>
                <w:rFonts w:hint="eastAsia"/>
                <w:lang w:val="en-US" w:eastAsia="zh-CN"/>
              </w:rPr>
            </w:pPr>
          </w:p>
        </w:tc>
        <w:tc>
          <w:tcPr>
            <w:tcW w:w="5703" w:type="dxa"/>
            <w:tcBorders>
              <w:top w:val="single" w:color="auto" w:sz="4" w:space="0"/>
              <w:left w:val="single" w:color="auto" w:sz="4" w:space="0"/>
              <w:bottom w:val="single" w:color="auto" w:sz="4" w:space="0"/>
              <w:right w:val="single" w:color="auto" w:sz="4" w:space="0"/>
            </w:tcBorders>
            <w:noWrap w:val="0"/>
            <w:vAlign w:val="top"/>
          </w:tcPr>
          <w:p w14:paraId="783D3FED">
            <w:pPr>
              <w:spacing w:line="240" w:lineRule="exact"/>
              <w:ind w:right="-105"/>
              <w:jc w:val="center"/>
              <w:rPr>
                <w:rFonts w:hint="eastAsia"/>
                <w:lang w:val="en-US" w:eastAsia="zh-CN"/>
              </w:rPr>
            </w:pPr>
          </w:p>
        </w:tc>
        <w:tc>
          <w:tcPr>
            <w:tcW w:w="1256" w:type="dxa"/>
            <w:tcBorders>
              <w:top w:val="single" w:color="auto" w:sz="4" w:space="0"/>
              <w:left w:val="single" w:color="auto" w:sz="4" w:space="0"/>
              <w:bottom w:val="single" w:color="auto" w:sz="4" w:space="0"/>
              <w:right w:val="single" w:color="auto" w:sz="4" w:space="0"/>
            </w:tcBorders>
            <w:noWrap w:val="0"/>
            <w:vAlign w:val="top"/>
          </w:tcPr>
          <w:p w14:paraId="446BA84A">
            <w:pPr>
              <w:spacing w:line="240" w:lineRule="exact"/>
              <w:ind w:right="-105"/>
              <w:jc w:val="center"/>
              <w:rPr>
                <w:rFonts w:hint="eastAsia"/>
                <w:lang w:val="en-US" w:eastAsia="zh-CN"/>
              </w:rPr>
            </w:pPr>
          </w:p>
        </w:tc>
      </w:tr>
      <w:tr w14:paraId="4C8E8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48F25A4B">
            <w:pPr>
              <w:spacing w:line="240" w:lineRule="exact"/>
              <w:ind w:right="-105"/>
              <w:jc w:val="center"/>
              <w:rPr>
                <w:rFonts w:hint="eastAsia"/>
                <w:lang w:val="en-US" w:eastAsia="zh-CN"/>
              </w:rPr>
            </w:pP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37463B6">
            <w:pPr>
              <w:spacing w:line="240" w:lineRule="exact"/>
              <w:ind w:right="-105"/>
              <w:jc w:val="center"/>
              <w:rPr>
                <w:rFonts w:hint="eastAsia"/>
                <w:lang w:val="en-US" w:eastAsia="zh-CN"/>
              </w:rPr>
            </w:pPr>
          </w:p>
        </w:tc>
        <w:tc>
          <w:tcPr>
            <w:tcW w:w="5703" w:type="dxa"/>
            <w:tcBorders>
              <w:top w:val="single" w:color="auto" w:sz="4" w:space="0"/>
              <w:left w:val="single" w:color="auto" w:sz="4" w:space="0"/>
              <w:bottom w:val="single" w:color="auto" w:sz="4" w:space="0"/>
              <w:right w:val="single" w:color="auto" w:sz="4" w:space="0"/>
            </w:tcBorders>
            <w:noWrap w:val="0"/>
            <w:vAlign w:val="top"/>
          </w:tcPr>
          <w:p w14:paraId="302C0845">
            <w:pPr>
              <w:spacing w:line="240" w:lineRule="exact"/>
              <w:ind w:right="-105"/>
              <w:jc w:val="center"/>
              <w:rPr>
                <w:rFonts w:hint="eastAsia"/>
                <w:lang w:val="en-US" w:eastAsia="zh-CN"/>
              </w:rPr>
            </w:pPr>
          </w:p>
        </w:tc>
        <w:tc>
          <w:tcPr>
            <w:tcW w:w="1256" w:type="dxa"/>
            <w:tcBorders>
              <w:top w:val="single" w:color="auto" w:sz="4" w:space="0"/>
              <w:left w:val="single" w:color="auto" w:sz="4" w:space="0"/>
              <w:bottom w:val="single" w:color="auto" w:sz="4" w:space="0"/>
              <w:right w:val="single" w:color="auto" w:sz="4" w:space="0"/>
            </w:tcBorders>
            <w:noWrap w:val="0"/>
            <w:vAlign w:val="top"/>
          </w:tcPr>
          <w:p w14:paraId="5429E3A1">
            <w:pPr>
              <w:spacing w:line="240" w:lineRule="exact"/>
              <w:ind w:right="-105"/>
              <w:jc w:val="center"/>
              <w:rPr>
                <w:rFonts w:hint="eastAsia"/>
                <w:lang w:val="en-US" w:eastAsia="zh-CN"/>
              </w:rPr>
            </w:pPr>
          </w:p>
        </w:tc>
      </w:tr>
    </w:tbl>
    <w:p w14:paraId="65CEF443"/>
    <w:p w14:paraId="528F3717">
      <w:pPr>
        <w:jc w:val="center"/>
        <w:rPr>
          <w:b/>
          <w:sz w:val="44"/>
          <w:szCs w:val="44"/>
        </w:rPr>
      </w:pPr>
    </w:p>
    <w:p w14:paraId="1FA8186D">
      <w:pPr>
        <w:jc w:val="center"/>
        <w:rPr>
          <w:b/>
          <w:sz w:val="44"/>
          <w:szCs w:val="44"/>
        </w:rPr>
      </w:pPr>
    </w:p>
    <w:p w14:paraId="3D871820">
      <w:pPr>
        <w:jc w:val="center"/>
        <w:rPr>
          <w:b/>
          <w:sz w:val="44"/>
          <w:szCs w:val="44"/>
        </w:rPr>
      </w:pPr>
    </w:p>
    <w:p w14:paraId="51215A5B">
      <w:pPr>
        <w:jc w:val="center"/>
        <w:rPr>
          <w:rFonts w:hint="default" w:eastAsia="宋体"/>
          <w:b/>
          <w:sz w:val="44"/>
          <w:szCs w:val="44"/>
          <w:lang w:val="en-US" w:eastAsia="zh-CN"/>
        </w:rPr>
      </w:pPr>
      <w:r>
        <w:rPr>
          <w:rFonts w:hint="eastAsia" w:ascii="Times New Roman" w:hAnsi="Times New Roman" w:cs="宋体"/>
          <w:b/>
          <w:sz w:val="44"/>
          <w:szCs w:val="44"/>
          <w:lang w:bidi="ar"/>
        </w:rPr>
        <w:t>四、测绘</w:t>
      </w:r>
      <w:r>
        <w:rPr>
          <w:rFonts w:hint="eastAsia" w:ascii="Times New Roman" w:hAnsi="Times New Roman" w:cs="宋体"/>
          <w:b/>
          <w:sz w:val="44"/>
          <w:szCs w:val="44"/>
          <w:lang w:val="en-US" w:eastAsia="zh-CN" w:bidi="ar"/>
        </w:rPr>
        <w:t>项目清单</w:t>
      </w:r>
    </w:p>
    <w:p w14:paraId="172AD0BC"/>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2143"/>
        <w:gridCol w:w="2144"/>
        <w:gridCol w:w="2144"/>
        <w:gridCol w:w="2384"/>
        <w:gridCol w:w="2385"/>
        <w:gridCol w:w="2144"/>
      </w:tblGrid>
      <w:tr w14:paraId="22093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7DFA0BCC">
            <w:pPr>
              <w:jc w:val="center"/>
              <w:rPr>
                <w:b/>
                <w:sz w:val="24"/>
              </w:rPr>
            </w:pPr>
            <w:r>
              <w:rPr>
                <w:rFonts w:hint="eastAsia" w:ascii="Times New Roman" w:hAnsi="Times New Roman" w:cs="宋体"/>
                <w:b/>
                <w:sz w:val="24"/>
                <w:lang w:bidi="ar"/>
              </w:rPr>
              <w:t>序号</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7B27DA8C">
            <w:pPr>
              <w:jc w:val="center"/>
              <w:rPr>
                <w:b/>
                <w:sz w:val="24"/>
              </w:rPr>
            </w:pPr>
            <w:r>
              <w:rPr>
                <w:rFonts w:hint="eastAsia" w:ascii="Times New Roman" w:hAnsi="Times New Roman" w:cs="宋体"/>
                <w:b/>
                <w:sz w:val="24"/>
                <w:lang w:bidi="ar"/>
              </w:rPr>
              <w:t>项目名称</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6EC30844">
            <w:pPr>
              <w:jc w:val="center"/>
              <w:rPr>
                <w:b/>
                <w:sz w:val="24"/>
              </w:rPr>
            </w:pPr>
            <w:r>
              <w:rPr>
                <w:rFonts w:hint="eastAsia" w:ascii="Times New Roman" w:hAnsi="Times New Roman" w:cs="宋体"/>
                <w:b/>
                <w:sz w:val="24"/>
                <w:lang w:bidi="ar"/>
              </w:rPr>
              <w:t>基本情况（项目地点、作业内容等）</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8091602">
            <w:pPr>
              <w:jc w:val="center"/>
              <w:rPr>
                <w:b/>
                <w:sz w:val="24"/>
              </w:rPr>
            </w:pPr>
            <w:r>
              <w:rPr>
                <w:rFonts w:hint="eastAsia" w:ascii="Times New Roman" w:hAnsi="Times New Roman" w:cs="宋体"/>
                <w:b/>
                <w:sz w:val="24"/>
                <w:lang w:bidi="ar"/>
              </w:rPr>
              <w:t>所属专业类别</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6B093706">
            <w:pPr>
              <w:jc w:val="center"/>
              <w:rPr>
                <w:b/>
                <w:sz w:val="24"/>
              </w:rPr>
            </w:pPr>
            <w:r>
              <w:rPr>
                <w:rFonts w:hint="eastAsia" w:ascii="Times New Roman" w:hAnsi="Times New Roman" w:cs="宋体"/>
                <w:b/>
                <w:sz w:val="24"/>
                <w:lang w:val="en" w:bidi="ar"/>
              </w:rPr>
              <w:t>测绘金额</w:t>
            </w:r>
            <w:r>
              <w:rPr>
                <w:rFonts w:ascii="Times New Roman" w:hAnsi="Times New Roman" w:cs="宋体"/>
                <w:b/>
                <w:sz w:val="24"/>
                <w:lang w:val="en" w:bidi="ar"/>
              </w:rPr>
              <w:t>(</w:t>
            </w:r>
            <w:r>
              <w:rPr>
                <w:rFonts w:hint="eastAsia" w:ascii="Times New Roman" w:hAnsi="Times New Roman" w:cs="宋体"/>
                <w:b/>
                <w:sz w:val="24"/>
                <w:lang w:val="en" w:bidi="ar"/>
              </w:rPr>
              <w:t>万元）</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7EF797D8">
            <w:pPr>
              <w:jc w:val="center"/>
              <w:rPr>
                <w:rFonts w:hint="eastAsia" w:ascii="Times New Roman" w:hAnsi="Times New Roman" w:cs="宋体"/>
                <w:b/>
                <w:sz w:val="24"/>
                <w:lang w:bidi="ar"/>
              </w:rPr>
            </w:pPr>
            <w:r>
              <w:rPr>
                <w:rFonts w:hint="eastAsia" w:ascii="Times New Roman" w:hAnsi="Times New Roman" w:cs="宋体"/>
                <w:b/>
                <w:sz w:val="24"/>
                <w:lang w:bidi="ar"/>
              </w:rPr>
              <w:t>验收时间</w:t>
            </w:r>
          </w:p>
          <w:p w14:paraId="4AE41577">
            <w:pPr>
              <w:jc w:val="center"/>
              <w:rPr>
                <w:rFonts w:hint="eastAsia" w:ascii="Times New Roman" w:hAnsi="Times New Roman" w:eastAsia="宋体" w:cs="宋体"/>
                <w:b/>
                <w:sz w:val="24"/>
                <w:lang w:val="en" w:eastAsia="zh-CN"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0813AE4">
            <w:pPr>
              <w:jc w:val="center"/>
              <w:rPr>
                <w:rFonts w:hint="eastAsia" w:ascii="Times New Roman" w:hAnsi="Times New Roman" w:cs="宋体"/>
                <w:b/>
                <w:sz w:val="24"/>
                <w:lang w:bidi="ar"/>
              </w:rPr>
            </w:pPr>
            <w:r>
              <w:rPr>
                <w:rFonts w:hint="eastAsia" w:ascii="Times New Roman" w:hAnsi="Times New Roman" w:cs="宋体"/>
                <w:b/>
                <w:sz w:val="24"/>
                <w:lang w:bidi="ar"/>
              </w:rPr>
              <w:t>验收机构</w:t>
            </w:r>
          </w:p>
          <w:p w14:paraId="241FE5A6">
            <w:pPr>
              <w:jc w:val="center"/>
              <w:rPr>
                <w:rFonts w:hint="eastAsia" w:ascii="Times New Roman" w:hAnsi="Times New Roman" w:cs="宋体"/>
                <w:b/>
                <w:sz w:val="24"/>
                <w:lang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r>
      <w:tr w14:paraId="30D73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0DE66CDB">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1</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2B6FA284">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理想家园</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59B8F51F">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理想家园10栋、11栋、12栋、13栋，进行房产测绘，完成房屋面积测量64323.24平方米</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5DADB810">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界线与不动产测绘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2DE40873">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8.004</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370A2E59">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2022.01.26</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3BF05B08">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东源理想实业有限公司</w:t>
            </w:r>
          </w:p>
        </w:tc>
      </w:tr>
      <w:tr w14:paraId="5D80A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064A5470">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2712AE2A">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盈美花园</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73083AD">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东源县城规划区徐洞工业开发区盈美花园A栋、B栋、C栋、D栋、E栋，进行房产测绘，完成房屋面积测量41416.69平方米</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5EEB22D4">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界线与不动产测绘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577D6D50">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5.6</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5569C0FF">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2022.02.16</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4276B5E2">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广东盈美电力设备有限公司</w:t>
            </w:r>
          </w:p>
        </w:tc>
      </w:tr>
      <w:tr w14:paraId="29CB4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0EC96153">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3</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1CBA0EB6">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雍和园</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7ACB52B1">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东源县城规划区站北工业区C12-5、C12-6、C26-2地块雍和园10、11、12、13，进行房产测绘，完成房屋面积测量38873.25平方米</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77901AF6">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界线与不动产测绘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3B215F5D">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5.012</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1963659E">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2022.09.05</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5E06E1A7">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东源县卓信置业发展有限公司</w:t>
            </w:r>
          </w:p>
        </w:tc>
      </w:tr>
      <w:tr w14:paraId="0DDE7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124769DC">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4</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61B42508">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华达商贸国际广场</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41D3D98E">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华达商贸国际广场，进行房产测绘，完成房屋面积测量89910.37平方米</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12ADB73E">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界线与不动产测绘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25980E92">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10.428</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76FC74FC">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2023.01.05</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62E46666">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河源市鑫沙实业有限公司</w:t>
            </w:r>
          </w:p>
        </w:tc>
      </w:tr>
      <w:tr w14:paraId="06D9D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690BDF87">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5</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755B07EA">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碧桂园·凤凰名筑</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60547987">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东源县碧桂园·凤凰名筑六号楼、七号楼、三号楼、五号楼、地下车库，进行房产测绘，完成房屋面积测量80743.71平方米</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7FC56EF3">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界线与不动产测绘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5C1F22AC">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13.268</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699EDD10">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2023.03.28</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346EA66B">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东源县博雅房地产开发有限公司</w:t>
            </w:r>
          </w:p>
        </w:tc>
      </w:tr>
      <w:tr w14:paraId="1F3F2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4128A3D4">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6</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39FCF4A1">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悦江花园</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0562018E">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悦江花园18栋、19栋、20栋、25栋、26栋、27栋、32栋、33A栋、13A栋、2栋、3A栋、3B、3C栋、5栋、9栋、10栋、11栋、12栋、13B栋、15栋、16栋、17栋、21栋、22栋、23A栋、23B栋、28栋、29栋、30栋、31栋，进行房产测绘，完成房屋面积测量76089.24平方米</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3CA9367">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界线与不动产测绘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78714354">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9.7</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28A0012F">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2023.04.04</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E9935DE">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东源县行健置业有限公司</w:t>
            </w:r>
          </w:p>
        </w:tc>
      </w:tr>
      <w:tr w14:paraId="26857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345E461E">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7</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48685ED3">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广东德洋设备有限公司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BAEFA96">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深圳盐田（东源）产业转移工业园二期DYSY-C1-01地块广东德洋设备有限公司厂房1#、2#、3#、电房、宿舍楼、值班室，广东德洋设备有限公司厂房2#101、201、301、401、501，进行房产测绘，完成房屋面积测量63622.99平方米</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4B0BDF13">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界线与不动产测绘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5CF8F1C1">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2.696</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2E01243C">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2023.06.06</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790E596B">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广东德洋设备有限公司</w:t>
            </w:r>
          </w:p>
        </w:tc>
      </w:tr>
      <w:tr w14:paraId="50D6F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7A13224C">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8</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50629317">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东江桃源、桃源国际商住小区</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44DB1E21">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一江两岸控制区B01-5地块商住小区（东源县城仙塘大道东江桃源2栋123号、124号、125号、A-3号、A-5号、A-6a号商铺）、东源县规划区服务区内桃源国际幼儿园、11栋、12栋、13栋、16栋、17栋、东源县城规划区生活服务区内桃源国际商住小区桃源国际酒店第十七至二十三层、综合市场、桃源国际商住小区一至二期地下室，进行房产测绘，完成房屋面积测量153606.24平方米</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3BDA3654">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界线与不动产测绘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162977E2">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24.52</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5D62A418">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2023.12.15</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3479AEFF">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东源路桥房地产开发有限公司</w:t>
            </w:r>
          </w:p>
        </w:tc>
      </w:tr>
      <w:tr w14:paraId="70BB2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1A971AC9">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9</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1E4043A0">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美的云筑</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7967CAD7">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东源县扶贫工业开发区美的云筑3栋、4栋、5栋、8栋、9栋、地下室一期、二期1栋、2栋、6栋、7栋，进行房产测绘，完成房屋面积测量114723.42平方米</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4DA1769F">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界线与不动产测绘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688132DD">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18.42</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60CCE6DA">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2024.03.22</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6D6E39EE">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河源市嘉正实业投资有限公司</w:t>
            </w:r>
          </w:p>
        </w:tc>
      </w:tr>
      <w:tr w14:paraId="45ECA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795E7C17">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10</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071369F0">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新河锦城</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13DFD94F">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新河锦城1栋、2栋、3栋、4栋、5栋、6栋，进行房产测绘，完成房屋面积测量56396.59平方米</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5DE5BFA6">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界线与不动产测绘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4D88BA6A">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7.832</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1A792C84">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2024.11.19</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36C2298D">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河源中光电通讯技术有限公司</w:t>
            </w:r>
          </w:p>
        </w:tc>
      </w:tr>
      <w:tr w14:paraId="7AA9F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08A99923">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11</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6649D2F9">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广东晟源永磁材料有限责任公司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01F4516E">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新材料产业园控制性详细规划YT-A06-02地块广东晟源永磁材料有限责任公司连续烧结车间、加工车间、产品库、废弃库、大门围墙、综合水泵站、综合楼、倒班宿舍、空压机房、磁体车间、合金处理车间、熔炼车间B、原料库、综合仓库、气瓶室，进行房产测绘，完成房屋面积测量48887.31平方米</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7D1A9C53">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界线与不动产测绘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69430CC2">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2.096</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2B537E26">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2025.01.02</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0001C40E">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广东晟源永磁材料有限责任公司</w:t>
            </w:r>
          </w:p>
        </w:tc>
      </w:tr>
      <w:tr w14:paraId="19768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4FEE1DF6">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12</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17AEDCC8">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新河中央北区</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11510778">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东源县站北工业区新河中央北区新河中央北区12栋、1栋、2栋、3栋，进行房产测绘，完成房屋面积测量53139.95平方米，二期10栋、11栋、5栋、6栋、8栋、9栋、幼儿园，进行房产测绘，完成房屋面积测量99789.98平方米</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339F41CB">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界线与不动产测绘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368EFC7D">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20.516</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0AEB2711">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2025.01.20</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3CFED47B">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河源市友帮投资开发有限公司</w:t>
            </w:r>
          </w:p>
        </w:tc>
      </w:tr>
      <w:tr w14:paraId="038EE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2FCEA683">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13</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2010E229">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雅居乐源著花园</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7443F8C2">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城中心区及生活配套区ZX-D01-04地块雅居乐源著花园1栋、2栋、3栋、4栋、5栋、6栋、7栋、8栋、9栋10栋、11栋、12栋、13栋、14栋、15栋、16栋、17栋、18栋、19栋、20栋、21栋、22栋、23栋，地下室（一期）、（二期），进行房产测绘，完成房屋面积测量177798.24平方米</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1B8D4FBC">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界线与不动产测绘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5B378210">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26.98</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2FC925E3">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2025.03.03</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79589B62">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河源市雅成房地产开发有限公司</w:t>
            </w:r>
          </w:p>
        </w:tc>
      </w:tr>
      <w:tr w14:paraId="536E5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5F1D64A1">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14</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3CC2BD33">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汇景·九里湾</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8B11EB3">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东源县县城规划区东江社区R-5地块汇景·九里湾幼儿园、R-6地块汇景·九里D组团地下室、汇景·九里湾花园A1栋、A2栋、A3栋、A4栋 、A7栋 ，进行房产测绘，完成房屋面积测量79100.94平方米</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662390C7">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界线与不动产测绘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758CF46C">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10.916</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0B90DB9B">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2025.03.19</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86D8F2C">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东源县东江水乡隆和投资发展有限公司</w:t>
            </w:r>
          </w:p>
        </w:tc>
      </w:tr>
      <w:tr w14:paraId="185F4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01C60D59">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15</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5B73463B">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万绿春天</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6B90F707">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扶贫工业区万绿春天08栋、东源县扶贫工业区万绿春天12栋、东源县扶贫工业区万绿春天10、东源县扶贫工业区万绿春天11、东源县扶贫工业区万绿春天13、河源市东源县扶贫工业区万绿春天15栋、河源市东源县扶贫工业区万绿春天16栋，进行房产测绘，完成房屋面积测量80868.42平方米</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0EA1C87B">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界线与不动产测绘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1D26AD3A">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9.52</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5BCF6C57">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2025.03.26</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46413303">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河源万绿水乡投资有限公司</w:t>
            </w:r>
          </w:p>
        </w:tc>
      </w:tr>
      <w:tr w14:paraId="63C9E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6588D1A8">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16</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0E62EC49">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广东宏钰净化科技有限公司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08F0C4EF">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东源县仙塘镇盐（田）东（源）共建现代物流园XT-04-02(A)地块广东宏钰净化科技有限公司宿舍楼、1#厂房、2#厂房、3#厂房、连廊，进行房产测绘，完成房屋面积测量57031.29平方米</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3769E47A">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界线与不动产测绘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0AEAE918">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2.476</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53101082">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2025.04.22</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7C9AD7B0">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广东宏钰净化科技有限公司</w:t>
            </w:r>
          </w:p>
        </w:tc>
      </w:tr>
      <w:tr w14:paraId="0212B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01172E38">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17</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711E0CE4">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颂怡塑钢制品（河源）有限公司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D1DEB6F">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颂怡塑钢制品（河源）有限公司办公楼(连廊)、厂房1、厂房2、门卫室、宿舍A，进行房产测绘，完成房屋面积测量75832.16平方米</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1113CC99">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界线与不动产测绘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61D62CE8">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3.084</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73F8C687">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2025.05.26</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43C43CA3">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颂怡塑钢制品（河源）有限公司</w:t>
            </w:r>
          </w:p>
        </w:tc>
      </w:tr>
      <w:tr w14:paraId="09DE4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699C968F">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18</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749F55D0">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锦云·颐和花园</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4411F5F5">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东源县城规划区木京1小区、G11-1地块锦云·颐和花园10栋、5栋、6栋、7栋、8栋、9栋、11栋、12栋、13栋、14栋、15栋、16栋、17栋、18栋、19栋、20栋，进行房产测绘，完成房屋面积测量143881.18平方米</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42C1484E">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界线与不动产测绘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25E93395">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17.392</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06CA5F36">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2025.07.31</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41CDED38">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东源县锦云贸易有限公司</w:t>
            </w:r>
          </w:p>
        </w:tc>
      </w:tr>
      <w:tr w14:paraId="3966E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6F00BACD">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19</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3A62C236">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霸王花·东城国际</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13C7E73E">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城规划区东江社区A-2地块霸王花·东城国际四期38栋、45栋、1栋、幼儿园、一期、二期、三期、四期；东源县城规划区东江社区A-1、R-1地块东城国际10-A、10-B、11、12、13、2、21、22、22、3、5、6、7、8、9、15、16、17、18、19、20、23、35、26、27、28、29、30、31栋，进行房产测绘，完成房屋面积测量371598.51平方米</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4E95C04D">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界线与不动产测绘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4EA31B3B">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40.09</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5C5F7058">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2025.08.27</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68F140C5">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东源县旺源房地产开发有限公司</w:t>
            </w:r>
          </w:p>
        </w:tc>
      </w:tr>
      <w:tr w14:paraId="25D6D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70125F5E">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509CBD7C">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河源美的城花园</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088B565A">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河源美的城花园13栋、20栋、6栋、7栋、27栋、12栋、19栋、28栋，河源美的城花园二期、三期地下室，</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东源县城规划区一江两岸控制区E03-8地块河源美的城花园21栋、22栋、23栋、24栋、25栋、26栋、10栋、11栋、56栋、60座肉菜市场、四期地下室A、B区，进行房产测绘，完成房屋面积测量322037.16平方米</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4B9AB99C">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界线与不动产测绘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1C553680">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50.212</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0B1884D2">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2025.11.11</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08D54BF5">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河源市铜人铜业发展有限公司</w:t>
            </w:r>
          </w:p>
        </w:tc>
      </w:tr>
      <w:tr w14:paraId="3E778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6417AF6A">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21</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6D0EA47F">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华丰国贸花园</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1EDD0266">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华丰国贸花园C栋、E栋、F栋、G栋、H栋、D栋、J栋，进行房产测绘，完成房屋面积测量88577.84平方米；华丰国际花园，进行房产测绘，完成房屋面积测量16222.34平方米</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641395B">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界线与不动产测绘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35B9DB42">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14.224</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0F3080E1">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2025.11.20</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3C7C31FA">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河源市华丰世纪投资集团有限公司</w:t>
            </w:r>
          </w:p>
        </w:tc>
      </w:tr>
      <w:tr w14:paraId="3ADD2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0C8C666A">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22</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0A7FBA3B">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龙光玖云台</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1CB21A7D">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龙光玖云台5栋、8栋、1栋、2栋、3栋、4栋、9栋、6栋、7栋、地下室、玖云台幼儿园，进行房产测绘，完成房屋面积测量140252.66平方米</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7BB78A0C">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界线与不动产测绘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400E3E75">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21.588</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29DC1ADB">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2026.01.09</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09A5272C">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河源市龙光骏荣房地产有限公司</w:t>
            </w:r>
          </w:p>
        </w:tc>
      </w:tr>
      <w:tr w14:paraId="2BDFF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4586BFA5">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23</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5220B086">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清平汇悦城</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4C99F6DE">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东源县县城中心区、清平地产汇悦城一期2栋、清平地产汇悦城一期38栋、39栋、东源县县城中心区清平地产汇悦城一期36、37栋，进行房产测绘，完成房屋面积测量94484.61平方米</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614616C7">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界线与不动产测绘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234DC086">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12.376</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22B8A879">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2026.02.11</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4E6757F3">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广东清平地产发展有限公司</w:t>
            </w:r>
          </w:p>
        </w:tc>
      </w:tr>
      <w:tr w14:paraId="187F7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67CD632E">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24</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4F1CCE2D">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御景豪园</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3A4D1334">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御景豪园1栋、2栋、3栋、5栋、6栋、7栋、8栋、9栋、幼儿园、地下室一期、二期地下室，二期10栋、11栋、12栋、13栋、二期地下室，进行房产测绘，完成房屋面积测量209198.69平方米</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1D3131E1">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界线与不动产测绘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1E03CE4E">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33.536</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46618CC0">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2026.04.08</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66BAA610">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河源市越时顺诚房地产开发有限公司</w:t>
            </w:r>
          </w:p>
        </w:tc>
      </w:tr>
      <w:tr w14:paraId="7675E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0DFF8B87">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25</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20963DF1">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河源万达住宅项目</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50ABBAA1">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城中心区及生活配套区ZX-D02-04地块河源万达广场项目，进行房产测绘，完成房屋面积测量90174.52平方米；河源万达住宅项目2#地块C10栋、C11栋、C12栋、C13栋、C1栋、C2栋、C3栋、C4栋、C5栋、C6栋、C7栋、C8栋、C9栋、B10栋、B11栋、B12栋、B13栋、B14栋、B15栋、B1栋、B2栋、B3栋、B4栋、B5栋、B6栋、B7栋、B8栋、B9栋、B16栋、地下室、D18栋、D2栋、D8栋、A1栋、A2栋、D1栋、D3栋、D4栋、D5栋、D6栋、D7栋、E1栋、E2栋、E3栋、E4栋、E5栋、E6-1栋、E6-2栋、E6-3栋、E7栋、E8栋、地下室、E10、E11、E15、E16、E17、E9、河源万达住宅项目4#地块E12栋、E13-1栋、E13-2栋、D11栋、D12栋、D13栋、E14栋社区医院、万达幼儿园、河源万达住宅项目4#地块地下室，进行房产测绘，完成房屋面积测量475093.96平方米</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5BCF173">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界线与不动产测绘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59932A79">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81.984</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292F63C1">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2026.06.10</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4DBE5C63">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河源万达地产发展有限公司</w:t>
            </w:r>
          </w:p>
        </w:tc>
      </w:tr>
      <w:tr w14:paraId="13A99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6DAF2078">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26</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4FD375D1">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东源县东江水乡隆和投资发展有限公司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1E7B0411">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项目位于东源县县城，主要工作为对汇景九里湾花园C组团1#2#3#4#5#6#7#8#地下室中的建筑物进行现状测绘并出具竣工复线图纸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3D251C4F">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工程测量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23ECA9F5">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48F470EE">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2021.01.15</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1917EEF">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东源县东江水乡隆和投资发展有限公司</w:t>
            </w:r>
          </w:p>
        </w:tc>
      </w:tr>
      <w:tr w14:paraId="55B1A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4E392690">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27</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4E700F04">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东源县东江水乡隆和投资发展有限公司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FB3DEBD">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项目位于东源县县城，主要工作为对汇景九里湾花园D组团1#2#3#4#5#6#地下室中的建筑物进行现状测绘并出具竣工复线图纸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3426E2DB">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工程测量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113F8D2E">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1.5</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62B24437">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2021.06.08</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E5941A2">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东源县东江水乡隆和投资发展有限公司</w:t>
            </w:r>
          </w:p>
        </w:tc>
      </w:tr>
      <w:tr w14:paraId="69719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579239B1">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28</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691F75DC">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立兴杨氏实业（河源）有限公司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6EF8ECAD">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项目位于东源县县城，主要工作为对厂房A5、厂房A6、厂房B2、宿舍楼A3、A4中的建筑物进行现状测绘并出具竣工复线图纸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FA07D09">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工程测量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41EAE0D5">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0.5</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60B839B6">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2021.06.25</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7202C8AA">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立兴杨氏实业（河源）有限公司</w:t>
            </w:r>
          </w:p>
        </w:tc>
      </w:tr>
      <w:tr w14:paraId="2F0C1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51B3EF04">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29</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733FDD79">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东源县旺源房地产开发有限公司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139F30B9">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项目位于东源县县城，主要工作为对霸王花东城国际配套小学中的建筑物进行现状测绘并出具竣工复线图纸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7FA556FF">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工程测量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696279C4">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1.25</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137913B2">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2021.08.11</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1B768193">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东源县旺源房地产开发有限公司</w:t>
            </w:r>
          </w:p>
        </w:tc>
      </w:tr>
      <w:tr w14:paraId="4BE4C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3698F0CD">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30</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01D3F3AD">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河源市铜人铜业发展有限公司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71DF2C6">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项目位于东源县县城，主要工作为对河源美的城花园5#、58A#、17#、18#、29#、30#中的建筑物进行现状测绘并出具竣工复线图纸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3C6C2BFA">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工程测量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3D3C2038">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1.5</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6CC1BB88">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2021.09.23</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691007FD">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河源市铜人铜业发展有限公司</w:t>
            </w:r>
          </w:p>
        </w:tc>
      </w:tr>
      <w:tr w14:paraId="60750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65B5E57A">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31</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48571076">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东源县锦云贸易有限公司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9A37BF2">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项目位于东源县县城，主要工作为对锦云.颐和花园二期（5#6#7#10#）中的建筑物进行现状测绘并出具竣工复线图纸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4E7B9733">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工程测量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49643AAF">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1</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6B585E1C">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2021.12.10</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365C8330">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东源县锦云贸易有限公司</w:t>
            </w:r>
          </w:p>
        </w:tc>
      </w:tr>
      <w:tr w14:paraId="5F073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4B8F6A44">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32</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48DD7016">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广东中飞汽车空调有限公司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024DD902">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项目位于东源县县城，主要工作为对1#、2#、3#、4#电商配送中心，5#冷库、6#机房、7#冷库中的建筑物进行现状测绘并出具竣工复线图纸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345AA0A0">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工程测量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76761342">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1.75</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7BE9A20B">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2022.04.09</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72C15A93">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广东中飞汽车空调有限公司</w:t>
            </w:r>
          </w:p>
        </w:tc>
      </w:tr>
      <w:tr w14:paraId="42A9B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66572782">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33</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2B0894CA">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东源县御和实业有限公司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56885D36">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项目位于东源县县城，主要工作为对项目位于东源县县城，主要工作对御河湾市政配套工程进行现状测绘并出具测绘图中的建筑物进行现状测绘并出具竣工复线图纸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7DE39C40">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地形图测绘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2BB2122B">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9.6</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4F6ED1A7">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2022.07.26</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38C05DF5">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东源县御和实业有限公司</w:t>
            </w:r>
          </w:p>
        </w:tc>
      </w:tr>
      <w:tr w14:paraId="39F5E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6B62C431">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34</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427F4235">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东源县旺源房地产开发有限公司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3A4E1643">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项目位于东源县县城，主要工作为对东城国际1、2、3、5、6、7、8、9、10、11、12、13、21、22中的建筑物进行现状测绘并出具竣工复线图纸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68641A01">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工程测量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1D47DB51">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3.5</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45E82F19">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2022.09.08</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6C8A5A3B">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东源县旺源房地产开发有限公司</w:t>
            </w:r>
          </w:p>
        </w:tc>
      </w:tr>
      <w:tr w14:paraId="21BEB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308C1265">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35</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1DCF1309">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东源路桥房地产开发有限公司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0ED6176">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项目位于东源县县城，主要工作为对桃源国际商住小区（11#、12#、13#、16#、17#、幼儿园）中的建筑物进行现状测绘并出具竣工复线图纸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54E740C3">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工程测量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25C7ED27">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1.5</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2CC6E312">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2023.03.24</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6CD83428">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东源路桥房地产开发有限公司</w:t>
            </w:r>
          </w:p>
        </w:tc>
      </w:tr>
      <w:tr w14:paraId="23FCF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395A34DA">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36</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01A59D1C">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河源市雅成房地产开发有限公司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11FE2CCE">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项目位于东源县县城，主要工作为对雅居乐源著花园（一期）1#、2#、3#、9#-23#、25#中的建筑物进行现状测绘并出具竣工复线图纸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3DCB6B91">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工程测量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1195EC05">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1.25</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425DE8C7">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2023.05.19</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515070B1">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河源市雅成房地产开发有限公司</w:t>
            </w:r>
          </w:p>
        </w:tc>
      </w:tr>
      <w:tr w14:paraId="26CF0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470A89FB">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37</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790F3D50">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河源市三汇实业有限公司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0ECD1E99">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项目位于东源县县城，主要工作为对项目位于东源县县城，主要工作对三汇大厦市政配套工程进行现状测绘并出具测绘图中的建筑物进行现状测绘并出具竣工复线图纸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415A49C4">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地形测绘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7C21C9D6">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2.78</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56E423DB">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2023.07.15</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B499092">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河源市三汇实业有限公司</w:t>
            </w:r>
          </w:p>
        </w:tc>
      </w:tr>
      <w:tr w14:paraId="57B35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4FA589CB">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38</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21E1B3A8">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河源双湖投资有限公司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6B9739CF">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项目位于东源县县城，主要工作为对阳光新村商住小区A1-1栋中的建筑物进行现状测绘并出具竣工复线图纸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67826BC3">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工程测量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31AA1BF7">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0.25</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7436D443">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2023.08.21</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51BA5405">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河源双湖投资有限公司</w:t>
            </w:r>
          </w:p>
        </w:tc>
      </w:tr>
      <w:tr w14:paraId="735BE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68A5B70E">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39</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2441E4BC">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河源万达地产发展有限公司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7978AFDA">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河源万达住宅项目3#地块（D1、D2、D3、D4、D5、D6、D7、D8、D18、A1、A2、E1、E2、E3、E4、E5、E6-1、E6-2、E6-3、E7、E8、门岗、开关房、公共厕所））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3F95847">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工程测量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7CA1B988">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6</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43CD6BA8">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2023.08.29</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05BC69E6">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河源万达地产发展有限公司</w:t>
            </w:r>
          </w:p>
        </w:tc>
      </w:tr>
      <w:tr w14:paraId="66AC1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46F92C0B">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40</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6D8260A8">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河源市龙光骏荣房地产有限公司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1AEBD415">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项目位于东源县县城，主要工作为对龙光玖云台（1栋、2栋、3栋、4栋、5栋、6栋、7栋、8栋、9栋、垃圾收集点、幼儿园）中的建筑物进行现状测绘并出具竣工复线图纸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6FC861EF">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工程测量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5C4C2D26">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2.75</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55760ED4">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2023.10.23</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6BD2EEAD">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河源市龙光骏荣房地产有限公司</w:t>
            </w:r>
          </w:p>
        </w:tc>
      </w:tr>
      <w:tr w14:paraId="54DF8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6A3634AD">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41</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16814FC8">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东源县旺源房地产开发有限公司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1252C4E0">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项目位于东源县县城，主要工作为对霸王花•东城国际（四期）32#、33#、35#、36#、37#、38#、39#、40#、41#、42#、43#、45#中的建筑物进行现状测绘并出具竣工复线图纸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3CC0CBC7">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工程测量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1BD4104C">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3</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6DF97A6C">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2023.12.05</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15873911">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东源县旺源房地产开发有限公司</w:t>
            </w:r>
          </w:p>
        </w:tc>
      </w:tr>
      <w:tr w14:paraId="159C6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53671CA4">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42</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3A5AC70B">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河源市华丰世纪投资集团有限公司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42BE4511">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项目位于东源县县城，主要工作为对华丰国贸花园（C#、D#、E#、F#、G#、H#、J#）中的建筑物进行现状测绘并出具竣工复线图纸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5055DB49">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工程测量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2BDE7151">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1.75</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3B581CAE">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2024.01.03</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489A21F">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河源市华丰世纪投资集团有限公司</w:t>
            </w:r>
          </w:p>
        </w:tc>
      </w:tr>
      <w:tr w14:paraId="2FFE3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4F4A11FA">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43</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5562D3C7">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立兴杨氏实业（河源）有限公司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0602914E">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立兴杨氏实业（河源）有限公司工业园建设工程（A4厂房、A3仓库、B3仓库、B1厂房、生产质检中心、厂区注入口门卫室、货物入口门卫室）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3DFA565">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工程测量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3DBA1205">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1.25</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7CE95EAB">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2024.01.16</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78EAA3B8">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立兴杨氏实业（河源）有限公司</w:t>
            </w:r>
          </w:p>
        </w:tc>
      </w:tr>
      <w:tr w14:paraId="60793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2F2CB2B5">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44</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36216996">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东源县粮食和物资储备有限责任公司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7969C299">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东源县粮食储备直属仓库迁建项目（大米加工厂、低温大米仓、冻肉储备库、综合库、成品植物油仓、平房仓1、平房仓2、平房仓3、平房仓4、检测综合楼）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1659FFD3">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工程测量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67EE7477">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2.5</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5E82D546">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2024.06.14</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7C2200B9">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东源县粮食和物资储备有限责任公司</w:t>
            </w:r>
          </w:p>
        </w:tc>
      </w:tr>
      <w:tr w14:paraId="1085C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46B27FB4">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45</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53B7C348">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东源县东江水乡隆和投资发展有限公司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139B594B">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项目位于东源县县城，主要工作为对汇景·九里湾花园（B1、B2、B3、B4、B5、B6、B7、B8、B9、B10）中的建筑物进行现状测绘并出具竣工复线图纸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1E39AB68">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工程测量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3FBADCA1">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2.5</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55BC17A6">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2024.06.15</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1C7C66E8">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东源县东江水乡隆和投资发展有限公司</w:t>
            </w:r>
          </w:p>
        </w:tc>
      </w:tr>
      <w:tr w14:paraId="30290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199352AD">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46</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3B30BF5E">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东源县东江水乡隆和投资发展有限公司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3F381D4A">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项目位于东源县县城，主要工作为对汇景·九里湾花园（A1、A2、A3、A4、A5、A6、A7、A11）中的建筑物进行现状测绘并出具竣工复线图纸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3450BB93">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工程测量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18231681">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1B1E70BE">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2024.06.15</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9B7CFC8">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东源县东江水乡隆和投资发展有限公司</w:t>
            </w:r>
          </w:p>
        </w:tc>
      </w:tr>
      <w:tr w14:paraId="1702C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3D0A5DD3">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47</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18738F3A">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东源县发展和改革局</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6480AEC8">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项目位于东源县县城，主要工作为对救灾应急救援物资储备库、医疗物资储备库、物资储备办公用房中的建筑物进行现状测绘并出具竣工复线图纸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1ECD8E81">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工程测量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1606217C">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7.5</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0EF43081">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2024.06.14</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6009C1C2">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东源县发展和改革局</w:t>
            </w:r>
          </w:p>
        </w:tc>
      </w:tr>
      <w:tr w14:paraId="6942C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32910DBE">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48</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767A0F31">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河源中光电通讯技术有限公司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87E750F">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项目位于东源县县城，主要工作为对新河锦城1#、新河锦城2#、新河锦城3#、新河锦城4#、新河锦城5#、新河锦城6#、新河锦城（垃圾回收站）中的建筑物进行现状测绘并出具竣工复线图纸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1FFFC1BA">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工程测量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0F41440B">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1.75</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742A627C">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2024.09.27</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6741B658">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河源中光电通讯技术有限公司</w:t>
            </w:r>
          </w:p>
        </w:tc>
      </w:tr>
      <w:tr w14:paraId="253DA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53C850CB">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49</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7B9F6DBC">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东源县住房和城乡建设局</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4A6F00D7">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项目位于东源县县城，主要工作为对东源县综合资源利用中心中的建筑物进行现状测绘并出具竣工复线图纸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12B64040">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工程测量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062F9A48">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2.75</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14C4E049">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2024.10.12</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0F055CDE">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东源县住房和城乡建设局</w:t>
            </w:r>
          </w:p>
        </w:tc>
      </w:tr>
      <w:tr w14:paraId="79F26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39B392AC">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50</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11EEE89D">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广东富丽食品科技有限公司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1A7893F">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项目位于东源县县城，主要工作为对广东富丽食品科技有限公司厂区项目（1#厂房、宿舍楼、1#值班室、2#值班室、设备间、研发楼）中的建筑物进行现状测绘并出具竣工复线图纸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0ABE4CD">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工程测量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39EAD089">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1.25</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30F23E80">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2024.12.06</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07B31FE4">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广东富丽食品科技有限公司</w:t>
            </w:r>
          </w:p>
        </w:tc>
      </w:tr>
      <w:tr w14:paraId="1E570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38438C56">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51</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3F9A44FC">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河源万达地产发展有限公司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3EB144ED">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项目位于东源县县城，主要工作为对河源万达住宅项目（4#地块D9、D10、D14、D15、D16、D17、D19、D20、3#开关房）中的建筑物进行现状测绘并出具竣工复线图纸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52E35A58">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工程测量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75E72871">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2.25</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4A28CB0A">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2024.12.16</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0CE04843">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河源万达地产发展有限公司</w:t>
            </w:r>
          </w:p>
        </w:tc>
      </w:tr>
      <w:tr w14:paraId="48F97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6A3B7C57">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52</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1407C020">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东源县锦云贸易有限公司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318854A0">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项目位于东源县县城，主要工作为对锦云.颐和花园11栋、12栋、13#、14#、15#-20#中的建筑物进行现状测绘并出具竣工复线图纸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61D0E38A">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工程测量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6CCA456D">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2.5</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77E70E9B">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2025.06.11</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0A45DFDE">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东源县锦云贸易有限公司</w:t>
            </w:r>
          </w:p>
        </w:tc>
      </w:tr>
      <w:tr w14:paraId="515A9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5F9FB3E7">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53</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30EF4805">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东源县机关事务管理局</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10ADE9C1">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项目位于东源县县城，主要工作为对项目位于东源县县城，主要工作为东源县党政机关办公用房进行现状测绘并出具测绘图中的建筑物进行现状测绘并出具竣工复线图纸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571023F3">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地籍测绘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171411B8">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4.5</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763048E0">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2026.01.23</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4B8C9F01">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东源县机关事务管理局</w:t>
            </w:r>
          </w:p>
        </w:tc>
      </w:tr>
      <w:tr w14:paraId="7A5FA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6A9F920E">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54</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2581610C">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广东清平地产发展有限公司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182F6B1A">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项目位于东源县县城，主要工作为对清平地产汇悦城一期（36#、37#、40#）中的建筑物进行现状测绘并出具竣工复线图纸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670A3581">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工程测量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421F6E7B">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0.75</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4A3212BD">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2026.01.20</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C0CD59E">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广东清平地产发展有限公司</w:t>
            </w:r>
          </w:p>
        </w:tc>
      </w:tr>
      <w:tr w14:paraId="6F1C9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45282D14">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55</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4DD1B9EF">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特诺玻璃制品（广东）有限公司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8738B85">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项目位于东源县县城，主要工作为对高档化妆品容器生产建设项目（1#厂房、辅助用房、值班室）中的建筑物进行现状测绘并出具竣工复线图纸</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1254D8E5">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工程测量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14:paraId="098085BA">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0.75</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5BD16A3A">
            <w:pPr>
              <w:keepNext w:val="0"/>
              <w:keepLines w:val="0"/>
              <w:widowControl/>
              <w:suppressLineNumbers w:val="0"/>
              <w:jc w:val="center"/>
              <w:textAlignment w:val="center"/>
            </w:pPr>
            <w:r>
              <w:rPr>
                <w:rFonts w:hint="eastAsia" w:ascii="方正仿宋_GBK" w:hAnsi="方正仿宋_GBK" w:eastAsia="方正仿宋_GBK" w:cs="方正仿宋_GBK"/>
                <w:i w:val="0"/>
                <w:iCs w:val="0"/>
                <w:color w:val="000000"/>
                <w:kern w:val="0"/>
                <w:sz w:val="24"/>
                <w:szCs w:val="24"/>
                <w:u w:val="none"/>
                <w:lang w:val="en-US" w:eastAsia="zh-CN" w:bidi="ar"/>
              </w:rPr>
              <w:t>2026.03.18</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5A141BFC">
            <w:pPr>
              <w:keepNext w:val="0"/>
              <w:keepLines w:val="0"/>
              <w:widowControl/>
              <w:suppressLineNumbers w:val="0"/>
              <w:jc w:val="center"/>
              <w:textAlignment w:val="center"/>
              <w:rPr>
                <w:bCs/>
              </w:rPr>
            </w:pPr>
            <w:r>
              <w:rPr>
                <w:rFonts w:hint="eastAsia" w:ascii="方正仿宋_GBK" w:hAnsi="方正仿宋_GBK" w:eastAsia="方正仿宋_GBK" w:cs="方正仿宋_GBK"/>
                <w:i w:val="0"/>
                <w:iCs w:val="0"/>
                <w:color w:val="000000"/>
                <w:kern w:val="0"/>
                <w:sz w:val="24"/>
                <w:szCs w:val="24"/>
                <w:u w:val="none"/>
                <w:lang w:val="en-US" w:eastAsia="zh-CN" w:bidi="ar"/>
              </w:rPr>
              <w:t>特诺玻璃制品（广东）有限公司</w:t>
            </w:r>
          </w:p>
        </w:tc>
      </w:tr>
      <w:tr w14:paraId="4D3F0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388D4159"/>
        </w:tc>
        <w:tc>
          <w:tcPr>
            <w:tcW w:w="2143" w:type="dxa"/>
            <w:tcBorders>
              <w:top w:val="single" w:color="auto" w:sz="4" w:space="0"/>
              <w:left w:val="single" w:color="auto" w:sz="4" w:space="0"/>
              <w:bottom w:val="single" w:color="auto" w:sz="4" w:space="0"/>
              <w:right w:val="single" w:color="auto" w:sz="4" w:space="0"/>
            </w:tcBorders>
            <w:noWrap w:val="0"/>
            <w:vAlign w:val="center"/>
          </w:tcPr>
          <w:p w14:paraId="3DD4EAFE">
            <w:pPr>
              <w:spacing w:line="240" w:lineRule="exact"/>
              <w:ind w:left="-105" w:right="-105"/>
            </w:pPr>
          </w:p>
        </w:tc>
        <w:tc>
          <w:tcPr>
            <w:tcW w:w="2144" w:type="dxa"/>
            <w:tcBorders>
              <w:top w:val="single" w:color="auto" w:sz="4" w:space="0"/>
              <w:left w:val="single" w:color="auto" w:sz="4" w:space="0"/>
              <w:bottom w:val="single" w:color="auto" w:sz="4" w:space="0"/>
              <w:right w:val="single" w:color="auto" w:sz="4" w:space="0"/>
            </w:tcBorders>
            <w:noWrap w:val="0"/>
            <w:vAlign w:val="center"/>
          </w:tcPr>
          <w:p w14:paraId="492587E8">
            <w:pPr>
              <w:spacing w:line="240" w:lineRule="exact"/>
              <w:ind w:left="-105" w:right="-105"/>
            </w:pPr>
          </w:p>
        </w:tc>
        <w:tc>
          <w:tcPr>
            <w:tcW w:w="2144" w:type="dxa"/>
            <w:tcBorders>
              <w:top w:val="single" w:color="auto" w:sz="4" w:space="0"/>
              <w:left w:val="single" w:color="auto" w:sz="4" w:space="0"/>
              <w:bottom w:val="single" w:color="auto" w:sz="4" w:space="0"/>
              <w:right w:val="single" w:color="auto" w:sz="4" w:space="0"/>
            </w:tcBorders>
            <w:noWrap w:val="0"/>
            <w:vAlign w:val="center"/>
          </w:tcPr>
          <w:p w14:paraId="4E79AB07">
            <w:pPr>
              <w:spacing w:line="240" w:lineRule="exact"/>
              <w:ind w:left="-105" w:right="-105"/>
            </w:pPr>
          </w:p>
        </w:tc>
        <w:tc>
          <w:tcPr>
            <w:tcW w:w="2384" w:type="dxa"/>
            <w:tcBorders>
              <w:top w:val="single" w:color="auto" w:sz="4" w:space="0"/>
              <w:left w:val="single" w:color="auto" w:sz="4" w:space="0"/>
              <w:bottom w:val="single" w:color="auto" w:sz="4" w:space="0"/>
              <w:right w:val="single" w:color="auto" w:sz="4" w:space="0"/>
            </w:tcBorders>
            <w:noWrap w:val="0"/>
            <w:vAlign w:val="center"/>
          </w:tcPr>
          <w:p w14:paraId="1B03DC8A">
            <w:pPr>
              <w:spacing w:line="240" w:lineRule="exact"/>
              <w:ind w:left="-105" w:right="-105"/>
            </w:pPr>
          </w:p>
        </w:tc>
        <w:tc>
          <w:tcPr>
            <w:tcW w:w="2385" w:type="dxa"/>
            <w:tcBorders>
              <w:top w:val="single" w:color="auto" w:sz="4" w:space="0"/>
              <w:left w:val="single" w:color="auto" w:sz="4" w:space="0"/>
              <w:bottom w:val="single" w:color="auto" w:sz="4" w:space="0"/>
              <w:right w:val="single" w:color="auto" w:sz="4" w:space="0"/>
            </w:tcBorders>
            <w:noWrap w:val="0"/>
            <w:vAlign w:val="center"/>
          </w:tcPr>
          <w:p w14:paraId="21E94DFC">
            <w:pPr>
              <w:spacing w:line="240" w:lineRule="exact"/>
              <w:ind w:left="-105" w:right="-105"/>
            </w:pPr>
          </w:p>
        </w:tc>
        <w:tc>
          <w:tcPr>
            <w:tcW w:w="2144" w:type="dxa"/>
            <w:tcBorders>
              <w:top w:val="single" w:color="auto" w:sz="4" w:space="0"/>
              <w:left w:val="single" w:color="auto" w:sz="4" w:space="0"/>
              <w:bottom w:val="single" w:color="auto" w:sz="4" w:space="0"/>
              <w:right w:val="single" w:color="auto" w:sz="4" w:space="0"/>
            </w:tcBorders>
            <w:noWrap w:val="0"/>
            <w:vAlign w:val="center"/>
          </w:tcPr>
          <w:p w14:paraId="588BD9AC">
            <w:pPr>
              <w:spacing w:line="240" w:lineRule="exact"/>
              <w:ind w:left="-105" w:right="-105"/>
              <w:rPr>
                <w:bCs/>
              </w:rPr>
            </w:pPr>
          </w:p>
        </w:tc>
      </w:tr>
      <w:tr w14:paraId="28F26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824" w:type="dxa"/>
            <w:tcBorders>
              <w:top w:val="single" w:color="auto" w:sz="4" w:space="0"/>
              <w:left w:val="single" w:color="auto" w:sz="4" w:space="0"/>
              <w:bottom w:val="single" w:color="auto" w:sz="4" w:space="0"/>
              <w:right w:val="single" w:color="auto" w:sz="4" w:space="0"/>
            </w:tcBorders>
            <w:noWrap w:val="0"/>
            <w:vAlign w:val="center"/>
          </w:tcPr>
          <w:p w14:paraId="1B9BE5CD"/>
        </w:tc>
        <w:tc>
          <w:tcPr>
            <w:tcW w:w="2143" w:type="dxa"/>
            <w:tcBorders>
              <w:top w:val="single" w:color="auto" w:sz="4" w:space="0"/>
              <w:left w:val="single" w:color="auto" w:sz="4" w:space="0"/>
              <w:bottom w:val="single" w:color="auto" w:sz="4" w:space="0"/>
              <w:right w:val="single" w:color="auto" w:sz="4" w:space="0"/>
            </w:tcBorders>
            <w:noWrap w:val="0"/>
            <w:vAlign w:val="center"/>
          </w:tcPr>
          <w:p w14:paraId="2B9D2968">
            <w:pPr>
              <w:spacing w:line="240" w:lineRule="exact"/>
              <w:ind w:left="-105" w:right="-105"/>
            </w:pPr>
          </w:p>
        </w:tc>
        <w:tc>
          <w:tcPr>
            <w:tcW w:w="2144" w:type="dxa"/>
            <w:tcBorders>
              <w:top w:val="single" w:color="auto" w:sz="4" w:space="0"/>
              <w:left w:val="single" w:color="auto" w:sz="4" w:space="0"/>
              <w:bottom w:val="single" w:color="auto" w:sz="4" w:space="0"/>
              <w:right w:val="single" w:color="auto" w:sz="4" w:space="0"/>
            </w:tcBorders>
            <w:noWrap w:val="0"/>
            <w:vAlign w:val="center"/>
          </w:tcPr>
          <w:p w14:paraId="526AB96A">
            <w:pPr>
              <w:spacing w:line="240" w:lineRule="exact"/>
              <w:ind w:left="-105" w:right="-105"/>
            </w:pPr>
          </w:p>
        </w:tc>
        <w:tc>
          <w:tcPr>
            <w:tcW w:w="2144" w:type="dxa"/>
            <w:tcBorders>
              <w:top w:val="single" w:color="auto" w:sz="4" w:space="0"/>
              <w:left w:val="single" w:color="auto" w:sz="4" w:space="0"/>
              <w:bottom w:val="single" w:color="auto" w:sz="4" w:space="0"/>
              <w:right w:val="single" w:color="auto" w:sz="4" w:space="0"/>
            </w:tcBorders>
            <w:noWrap w:val="0"/>
            <w:vAlign w:val="center"/>
          </w:tcPr>
          <w:p w14:paraId="0AF0EC4A">
            <w:pPr>
              <w:spacing w:line="240" w:lineRule="exact"/>
              <w:ind w:left="-105" w:right="-105"/>
            </w:pPr>
          </w:p>
        </w:tc>
        <w:tc>
          <w:tcPr>
            <w:tcW w:w="2384" w:type="dxa"/>
            <w:tcBorders>
              <w:top w:val="single" w:color="auto" w:sz="4" w:space="0"/>
              <w:left w:val="single" w:color="auto" w:sz="4" w:space="0"/>
              <w:bottom w:val="single" w:color="auto" w:sz="4" w:space="0"/>
              <w:right w:val="single" w:color="auto" w:sz="4" w:space="0"/>
            </w:tcBorders>
            <w:noWrap w:val="0"/>
            <w:vAlign w:val="center"/>
          </w:tcPr>
          <w:p w14:paraId="687F4D07">
            <w:pPr>
              <w:spacing w:line="240" w:lineRule="exact"/>
              <w:ind w:left="-105" w:right="-105"/>
            </w:pPr>
          </w:p>
        </w:tc>
        <w:tc>
          <w:tcPr>
            <w:tcW w:w="2385" w:type="dxa"/>
            <w:tcBorders>
              <w:top w:val="single" w:color="auto" w:sz="4" w:space="0"/>
              <w:left w:val="single" w:color="auto" w:sz="4" w:space="0"/>
              <w:bottom w:val="single" w:color="auto" w:sz="4" w:space="0"/>
              <w:right w:val="single" w:color="auto" w:sz="4" w:space="0"/>
            </w:tcBorders>
            <w:noWrap w:val="0"/>
            <w:vAlign w:val="center"/>
          </w:tcPr>
          <w:p w14:paraId="527F5E00">
            <w:pPr>
              <w:spacing w:line="240" w:lineRule="exact"/>
              <w:ind w:left="-105" w:right="-105"/>
            </w:pP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C57E4A5">
            <w:pPr>
              <w:spacing w:line="240" w:lineRule="exact"/>
              <w:ind w:left="-105" w:right="-105"/>
              <w:rPr>
                <w:bCs/>
              </w:rPr>
            </w:pPr>
          </w:p>
        </w:tc>
      </w:tr>
    </w:tbl>
    <w:p w14:paraId="38277A95"/>
    <w:p w14:paraId="5F43DD76">
      <w:pPr>
        <w:jc w:val="center"/>
        <w:rPr>
          <w:rFonts w:hint="eastAsia" w:ascii="宋体" w:hAnsi="宋体" w:cs="宋体"/>
        </w:rPr>
      </w:pPr>
      <w:r>
        <w:rPr>
          <w:rFonts w:ascii="Times New Roman" w:hAnsi="Times New Roman"/>
          <w:b/>
          <w:sz w:val="44"/>
          <w:szCs w:val="44"/>
          <w:lang w:bidi="ar"/>
        </w:rPr>
        <w:br w:type="page"/>
      </w:r>
      <w:r>
        <w:rPr>
          <w:rFonts w:hint="eastAsia" w:ascii="宋体" w:hAnsi="宋体" w:cs="宋体"/>
          <w:b/>
          <w:sz w:val="44"/>
          <w:szCs w:val="44"/>
          <w:lang w:bidi="ar"/>
        </w:rPr>
        <w:t>五、体系制度要求</w:t>
      </w:r>
    </w:p>
    <w:p w14:paraId="086765C9">
      <w:pPr>
        <w:rPr>
          <w:rFonts w:hint="eastAsia" w:ascii="宋体" w:hAnsi="宋体" w:cs="宋体"/>
          <w:sz w:val="24"/>
        </w:rPr>
      </w:pPr>
    </w:p>
    <w:tbl>
      <w:tblPr>
        <w:tblStyle w:val="6"/>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535"/>
        <w:gridCol w:w="10634"/>
        <w:gridCol w:w="1819"/>
      </w:tblGrid>
      <w:tr w14:paraId="42B70E0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18" w:hRule="atLeast"/>
          <w:jc w:val="center"/>
        </w:trPr>
        <w:tc>
          <w:tcPr>
            <w:tcW w:w="12169"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3BE0FF5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
                <w:kern w:val="200"/>
                <w:sz w:val="28"/>
                <w:szCs w:val="28"/>
                <w:lang w:bidi="ar"/>
              </w:rPr>
              <w:t>具体要求</w:t>
            </w:r>
          </w:p>
        </w:tc>
        <w:tc>
          <w:tcPr>
            <w:tcW w:w="1819"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761018C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宋体-PUA"/>
                <w:b/>
                <w:kern w:val="200"/>
                <w:sz w:val="24"/>
                <w:lang w:bidi="ar"/>
              </w:rPr>
            </w:pPr>
            <w:r>
              <w:rPr>
                <w:rFonts w:hint="eastAsia" w:ascii="宋体" w:hAnsi="宋体" w:cs="宋体-PUA"/>
                <w:b/>
                <w:kern w:val="200"/>
                <w:sz w:val="24"/>
                <w:lang w:bidi="ar"/>
              </w:rPr>
              <w:t>申请单位情况</w:t>
            </w:r>
          </w:p>
          <w:p w14:paraId="1F68A42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Cs/>
                <w:kern w:val="200"/>
                <w:szCs w:val="21"/>
                <w:lang w:bidi="ar"/>
              </w:rPr>
              <w:t>（填符合或不符合）</w:t>
            </w:r>
          </w:p>
        </w:tc>
      </w:tr>
      <w:tr w14:paraId="1931090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0AE690E1">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方正小标宋简体"/>
                <w:bCs/>
                <w:kern w:val="200"/>
                <w:sz w:val="44"/>
                <w:szCs w:val="44"/>
                <w:lang w:bidi="ar"/>
              </w:rPr>
              <w:t xml:space="preserve">  </w:t>
            </w:r>
            <w:r>
              <w:rPr>
                <w:rFonts w:hint="eastAsia" w:ascii="宋体" w:hAnsi="宋体" w:cs="宋体-PUA"/>
                <w:b/>
                <w:kern w:val="200"/>
                <w:sz w:val="28"/>
                <w:szCs w:val="28"/>
                <w:lang w:bidi="ar"/>
              </w:rPr>
              <w:t>一、测绘地理信息安全保障措施和管理制度要求</w:t>
            </w:r>
          </w:p>
        </w:tc>
      </w:tr>
      <w:tr w14:paraId="4AE863F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3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0A1998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基本要求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8C312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1.</w:t>
            </w:r>
            <w:r>
              <w:rPr>
                <w:rFonts w:hint="eastAsia" w:ascii="宋体" w:hAnsi="宋体" w:cs="仿宋_GB2312"/>
                <w:sz w:val="24"/>
                <w:lang w:bidi="ar"/>
              </w:rPr>
              <w:t>设立测绘地理信息安全保密工作机构。</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DE1DF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sz w:val="24"/>
                <w:lang w:val="en-US" w:eastAsia="zh-CN"/>
              </w:rPr>
            </w:pPr>
            <w:r>
              <w:rPr>
                <w:rFonts w:hint="eastAsia" w:ascii="宋体" w:hAnsi="宋体" w:cs="仿宋_GB2312"/>
                <w:sz w:val="24"/>
                <w:lang w:val="en-US" w:eastAsia="zh-CN"/>
              </w:rPr>
              <w:t>符合</w:t>
            </w:r>
          </w:p>
        </w:tc>
      </w:tr>
      <w:tr w14:paraId="1E50118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3968D54">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1EF0B3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2.从事涉密测绘业务的人员应当具有中华人民共和国国籍，签订保密责任书，接受保密教育。</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F7E760">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053C4FA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08B4B8">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35CC19">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3.建立健全测绘地理信息安全保密管理制度。明确涉密人员管理、保密要害部门部位管理、涉密设备与存储介质管理、涉密测绘成果全流程保密、保密自查等要求。</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627D5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482595E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2F6F19E">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651817">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4.明确涉密测绘成果使用审批流程和责任人，未经批准，涉密测绘成果不得带离保密要害部门部位。</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AB070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0E544BE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732A2A1">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2C3ECD8">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35F3B0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5C5EEB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1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1273C9">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6246767">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6.建立健全涉密测绘外业安全保密管理制度，落实监管人员和保密责任，外业所用涉密计算机纳入涉密单机进行管理。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A28CB5">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44E9846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6F838BF">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2EE678">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7.对属于国家秘密的地理信息的获取、持有、提供、利用情况进行登记并长期保存，实行可追溯管理。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C25EE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6D97615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7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6C17B5">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6BF06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8.从事测绘活动，应当遵守保密法律法规规章等有关规定。</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486ED6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0CFA3C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BCD25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导航电子地图制作补充要求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4F6ABD">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1.涉密网络应配备系统管理员、安全保密管理员和安全审计员。</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D5AC42">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default" w:ascii="宋体" w:hAnsi="宋体" w:eastAsia="宋体" w:cs="仿宋_GB2312"/>
                <w:kern w:val="0"/>
                <w:sz w:val="24"/>
                <w:lang w:val="en-US" w:eastAsia="zh-CN"/>
              </w:rPr>
            </w:pPr>
            <w:r>
              <w:rPr>
                <w:rFonts w:hint="eastAsia" w:ascii="宋体" w:hAnsi="宋体" w:cs="仿宋_GB2312"/>
                <w:kern w:val="0"/>
                <w:sz w:val="24"/>
                <w:lang w:val="en-US" w:eastAsia="zh-CN"/>
              </w:rPr>
              <w:t>\</w:t>
            </w:r>
          </w:p>
        </w:tc>
      </w:tr>
      <w:tr w14:paraId="651F873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3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74F8D64">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ADD827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2.保密要害部门部位应当确定安全控制区域，采取电子监控、防盗报警等必要的安全防范措施。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C7A5E9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49D7AF0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78BAC60">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1B5C4E">
            <w:pPr>
              <w:keepNext w:val="0"/>
              <w:keepLines w:val="0"/>
              <w:pageBreakBefore w:val="0"/>
              <w:widowControl/>
              <w:numPr>
                <w:ilvl w:val="0"/>
                <w:numId w:val="1"/>
              </w:numPr>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配置符合要求的安全保密专用产品，包括身份鉴别、访问控制、安全审计、保密技术防护（三合一）、漏洞扫描、计算机病毒查杀、边界安全防护和数据库安全等产品。</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4005B2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7BC577F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35CA381">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AF71D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4.软件开发不得在保密要害部门部位内进行。</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D935B7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271C653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653425">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9E9BA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sz w:val="24"/>
                <w:lang w:bidi="ar"/>
              </w:rPr>
              <w:t>5.未经单位安全保密工作机构批准，单位内部</w:t>
            </w:r>
            <w:r>
              <w:rPr>
                <w:rFonts w:hint="eastAsia" w:ascii="宋体" w:hAnsi="宋体" w:cs="仿宋_GB2312"/>
                <w:kern w:val="0"/>
                <w:sz w:val="24"/>
                <w:lang w:bidi="ar"/>
              </w:rPr>
              <w:t>涉密测绘成果</w:t>
            </w:r>
            <w:r>
              <w:rPr>
                <w:rFonts w:hint="eastAsia" w:ascii="宋体" w:hAnsi="宋体" w:cs="仿宋_GB2312"/>
                <w:sz w:val="24"/>
                <w:lang w:bidi="ar"/>
              </w:rPr>
              <w:t>不得采用移动存储介质进行交换，应基于涉密网络操作，并进行审计。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C95646">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5760B66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707E8D">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CEE1A9">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6.涉密测绘成果对外提供应配置专人专机。专机需安装安全审计软件，进行实时审计。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AA5CD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w:t>
            </w:r>
          </w:p>
        </w:tc>
      </w:tr>
      <w:tr w14:paraId="6428797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50880D">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3E8F97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7.配置红黑电源。</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15F5A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6B0000E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26" w:hRule="atLeast"/>
          <w:jc w:val="center"/>
        </w:trPr>
        <w:tc>
          <w:tcPr>
            <w:tcW w:w="1535"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0487B055">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互联网地图服务补充要求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95AADD">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存放地图数据的服务器设在中华人民共和国境内。</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6D053A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6B74219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399FA080">
            <w:pPr>
              <w:keepNext w:val="0"/>
              <w:keepLines w:val="0"/>
              <w:pageBreakBefore w:val="0"/>
              <w:kinsoku/>
              <w:wordWrap/>
              <w:overflowPunct/>
              <w:topLinePunct w:val="0"/>
              <w:autoSpaceDE/>
              <w:autoSpaceDN/>
              <w:bidi w:val="0"/>
              <w:adjustRightInd w:val="0"/>
              <w:snapToGrid w:val="0"/>
              <w:spacing w:line="440" w:lineRule="exact"/>
              <w:rPr>
                <w:rFonts w:hint="eastAsia" w:ascii="宋体" w:hAnsi="宋体" w:cs="仿宋_GB2312"/>
                <w:b/>
                <w:kern w:val="0"/>
                <w:sz w:val="28"/>
                <w:szCs w:val="28"/>
              </w:rPr>
            </w:pPr>
            <w:r>
              <w:rPr>
                <w:rFonts w:hint="eastAsia" w:ascii="宋体" w:hAnsi="宋体" w:cs="宋体-PUA"/>
                <w:b/>
                <w:kern w:val="200"/>
                <w:sz w:val="28"/>
                <w:szCs w:val="28"/>
                <w:lang w:bidi="ar"/>
              </w:rPr>
              <w:t>二、技术和质量保证体系要求</w:t>
            </w:r>
          </w:p>
        </w:tc>
      </w:tr>
      <w:tr w14:paraId="2ED5116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90"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14:paraId="179A521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机构人员</w:t>
            </w: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6A451BBA">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1.设立技术和质量管理机构。</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49F4ABB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27DD41F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139B12">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DC80601">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 xml:space="preserve"> 2.明确技术和质量管理工作的主管领导、技术和质量管理机构的负责人。技术和质量管理机构负责人应当具备中级及以上测绘专业技术职称。</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BEC603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2DA18E6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D26EC2">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7AE6E12E">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3.配备与业务相适应的质检人员。质检人员应当是测绘专业技术人员。</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0320AD0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3A87C2B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655"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14:paraId="3211C3E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000000" w:sz="4" w:space="0"/>
              <w:left w:val="single" w:color="000000" w:sz="4" w:space="0"/>
              <w:bottom w:val="single" w:color="000000" w:sz="4" w:space="0"/>
              <w:right w:val="single" w:color="auto" w:sz="4" w:space="0"/>
            </w:tcBorders>
            <w:noWrap w:val="0"/>
            <w:vAlign w:val="top"/>
          </w:tcPr>
          <w:p w14:paraId="22CB0370">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4.建立健全技术管理制度，明确技术设计、技术处理和技术总结等要求。其中简单、日常性的测绘项目可以制定《作业指导书》。</w:t>
            </w:r>
          </w:p>
        </w:tc>
        <w:tc>
          <w:tcPr>
            <w:tcW w:w="1819" w:type="dxa"/>
            <w:tcBorders>
              <w:top w:val="single" w:color="000000" w:sz="4" w:space="0"/>
              <w:left w:val="single" w:color="auto" w:sz="4" w:space="0"/>
              <w:bottom w:val="single" w:color="000000" w:sz="4" w:space="0"/>
              <w:right w:val="single" w:color="000000" w:sz="4" w:space="0"/>
            </w:tcBorders>
            <w:noWrap w:val="0"/>
            <w:vAlign w:val="top"/>
          </w:tcPr>
          <w:p w14:paraId="29065BF7">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仿宋_GB2312"/>
                <w:sz w:val="24"/>
                <w:lang w:val="en-US" w:eastAsia="zh-CN"/>
              </w:rPr>
              <w:t>符合</w:t>
            </w:r>
          </w:p>
        </w:tc>
      </w:tr>
      <w:tr w14:paraId="77DAE5C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1B5497">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top"/>
          </w:tcPr>
          <w:p w14:paraId="1619F76D">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5.建立健全质量检查管理制度，明确过程检查、最终检查、质量评定、检查记录和检查报告等要求。</w:t>
            </w:r>
          </w:p>
        </w:tc>
        <w:tc>
          <w:tcPr>
            <w:tcW w:w="1819" w:type="dxa"/>
            <w:tcBorders>
              <w:top w:val="single" w:color="000000" w:sz="4" w:space="0"/>
              <w:left w:val="single" w:color="auto" w:sz="4" w:space="0"/>
              <w:bottom w:val="single" w:color="000000" w:sz="4" w:space="0"/>
              <w:right w:val="single" w:color="000000" w:sz="4" w:space="0"/>
            </w:tcBorders>
            <w:noWrap w:val="0"/>
            <w:vAlign w:val="top"/>
          </w:tcPr>
          <w:p w14:paraId="7E0032C7">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仿宋_GB2312"/>
                <w:sz w:val="24"/>
                <w:lang w:val="en-US" w:eastAsia="zh-CN"/>
              </w:rPr>
              <w:t>符合</w:t>
            </w:r>
          </w:p>
        </w:tc>
      </w:tr>
      <w:tr w14:paraId="39824C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7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279BD3">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78234A25">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6.建立健全人员培训与岗位管理制度，明确岗位职责、岗前培训考核、继续教育等要求。</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042C666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58C3240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1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35BFAB">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5A11794">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7.建立健全测绘仪器设备检定、校准管理制度，明确测绘仪器设备的检定、校准、日常管理等要求。</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54592C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279B585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22" w:hRule="atLeast"/>
          <w:jc w:val="center"/>
        </w:trPr>
        <w:tc>
          <w:tcPr>
            <w:tcW w:w="153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9CC257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b/>
                <w:kern w:val="0"/>
                <w:sz w:val="24"/>
                <w:lang w:bidi="ar"/>
              </w:rPr>
              <w:t>其他</w:t>
            </w: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7A2FE10D">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Cs/>
                <w:kern w:val="0"/>
                <w:sz w:val="24"/>
              </w:rPr>
            </w:pPr>
            <w:r>
              <w:rPr>
                <w:rFonts w:hint="eastAsia" w:ascii="宋体" w:hAnsi="宋体" w:cs="仿宋_GB2312"/>
                <w:bCs/>
                <w:kern w:val="0"/>
                <w:sz w:val="24"/>
                <w:lang w:bidi="ar"/>
              </w:rPr>
              <w:t>测绘技术和质量保证体系应当遵守法律法规规章等有关规定。</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1197F14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sz w:val="24"/>
                <w:lang w:val="en-US" w:eastAsia="zh-CN"/>
              </w:rPr>
              <w:t>符合</w:t>
            </w:r>
          </w:p>
        </w:tc>
      </w:tr>
      <w:tr w14:paraId="518DA85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1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70E1C51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8"/>
                <w:szCs w:val="28"/>
              </w:rPr>
            </w:pPr>
            <w:r>
              <w:rPr>
                <w:rFonts w:hint="eastAsia" w:ascii="宋体" w:hAnsi="宋体" w:cs="宋体-PUA"/>
                <w:b/>
                <w:kern w:val="200"/>
                <w:sz w:val="28"/>
                <w:szCs w:val="28"/>
                <w:lang w:bidi="ar"/>
              </w:rPr>
              <w:t>三、测绘成果和资料档案管理制度要求</w:t>
            </w:r>
          </w:p>
        </w:tc>
      </w:tr>
      <w:tr w14:paraId="2E95CAB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0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14:paraId="11FC163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机构人员</w:t>
            </w:r>
          </w:p>
        </w:tc>
        <w:tc>
          <w:tcPr>
            <w:tcW w:w="10634" w:type="dxa"/>
            <w:tcBorders>
              <w:top w:val="single" w:color="auto" w:sz="4" w:space="0"/>
              <w:left w:val="single" w:color="auto" w:sz="4" w:space="0"/>
              <w:bottom w:val="single" w:color="auto" w:sz="4" w:space="0"/>
              <w:right w:val="single" w:color="auto" w:sz="4" w:space="0"/>
            </w:tcBorders>
            <w:noWrap w:val="0"/>
            <w:vAlign w:val="top"/>
          </w:tcPr>
          <w:p w14:paraId="2A8B3540">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1.设立测绘成果和资料档案管理机构。</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107DAA6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4F2F092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14:paraId="2EDC52D0">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vAlign w:val="top"/>
          </w:tcPr>
          <w:p w14:paraId="26206F9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2.明确测绘成果和资料档案管理工作的主管领导、工作人员及岗位职责。</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225C9A1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14:paraId="095FDCA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9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14:paraId="24C7CE96">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auto" w:sz="4" w:space="0"/>
              <w:left w:val="single" w:color="auto" w:sz="4" w:space="0"/>
              <w:bottom w:val="single" w:color="auto" w:sz="4" w:space="0"/>
              <w:right w:val="single" w:color="auto" w:sz="4" w:space="0"/>
            </w:tcBorders>
            <w:noWrap w:val="0"/>
            <w:vAlign w:val="top"/>
          </w:tcPr>
          <w:p w14:paraId="67F56B07">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sz w:val="24"/>
              </w:rPr>
            </w:pPr>
            <w:r>
              <w:rPr>
                <w:rFonts w:hint="eastAsia" w:ascii="宋体" w:hAnsi="宋体" w:cs="仿宋_GB2312"/>
                <w:kern w:val="0"/>
                <w:sz w:val="24"/>
                <w:lang w:bidi="ar"/>
              </w:rPr>
              <w:t>3.建立健全测绘成果和资料档案管理制度，明确测绘成果接收、整理、保管、使用、销毁以及建立台账等管理要求。</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68272A5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14:paraId="79A5A1F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14:paraId="20B6091C">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1A5006">
            <w:pPr>
              <w:keepNext w:val="0"/>
              <w:keepLines w:val="0"/>
              <w:pageBreakBefore w:val="0"/>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4.建立健全测绘成果和资料档案信息化管理的安全保护制度。</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66881C2">
            <w:pPr>
              <w:keepNext w:val="0"/>
              <w:keepLines w:val="0"/>
              <w:pageBreakBefore w:val="0"/>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14:paraId="327D399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75"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D39C75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设施设备</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24A2DBD">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5.有专门的测绘成果和资料档案库房，具备防盗、防火、防潮、防光、防尘、防磁、防有害生物和污染等安全措施。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EDB23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14:paraId="4CE78F6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1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A7A7CE">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9D369AB">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6.配有与业务相适应的测绘成果和资料档案专用柜架、专用数据存储设备。</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B9801D2">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14:paraId="1F0FAEC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59" w:hRule="atLeast"/>
          <w:jc w:val="center"/>
        </w:trPr>
        <w:tc>
          <w:tcPr>
            <w:tcW w:w="1535" w:type="dxa"/>
            <w:tcBorders>
              <w:top w:val="single" w:color="auto" w:sz="4" w:space="0"/>
              <w:left w:val="single" w:color="auto" w:sz="4" w:space="0"/>
              <w:bottom w:val="single" w:color="auto" w:sz="4" w:space="0"/>
              <w:right w:val="single" w:color="auto" w:sz="4" w:space="0"/>
            </w:tcBorders>
            <w:noWrap w:val="0"/>
            <w:vAlign w:val="center"/>
          </w:tcPr>
          <w:p w14:paraId="5639669C">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b/>
                <w:kern w:val="0"/>
                <w:sz w:val="24"/>
                <w:lang w:bidi="ar"/>
              </w:rPr>
              <w:t>其他</w:t>
            </w:r>
          </w:p>
        </w:tc>
        <w:tc>
          <w:tcPr>
            <w:tcW w:w="10634" w:type="dxa"/>
            <w:tcBorders>
              <w:top w:val="single" w:color="auto" w:sz="4" w:space="0"/>
              <w:left w:val="single" w:color="auto" w:sz="4" w:space="0"/>
              <w:bottom w:val="single" w:color="auto" w:sz="4" w:space="0"/>
              <w:right w:val="single" w:color="auto" w:sz="4" w:space="0"/>
            </w:tcBorders>
            <w:noWrap w:val="0"/>
            <w:vAlign w:val="center"/>
          </w:tcPr>
          <w:p w14:paraId="63DB5A20">
            <w:pPr>
              <w:keepNext w:val="0"/>
              <w:keepLines w:val="0"/>
              <w:pageBreakBefore w:val="0"/>
              <w:kinsoku/>
              <w:wordWrap/>
              <w:overflowPunct/>
              <w:topLinePunct w:val="0"/>
              <w:autoSpaceDE/>
              <w:autoSpaceDN/>
              <w:bidi w:val="0"/>
              <w:spacing w:line="440" w:lineRule="exact"/>
              <w:rPr>
                <w:rFonts w:hint="eastAsia" w:ascii="宋体" w:hAnsi="宋体" w:cs="仿宋_GB2312"/>
                <w:kern w:val="0"/>
                <w:sz w:val="24"/>
              </w:rPr>
            </w:pPr>
            <w:r>
              <w:rPr>
                <w:rFonts w:hint="eastAsia" w:ascii="宋体" w:hAnsi="宋体" w:cs="仿宋_GB2312"/>
                <w:kern w:val="0"/>
                <w:sz w:val="24"/>
                <w:lang w:bidi="ar"/>
              </w:rPr>
              <w:t>测绘成果和资料档案管理应当</w:t>
            </w:r>
            <w:r>
              <w:rPr>
                <w:rFonts w:hint="eastAsia" w:ascii="宋体" w:hAnsi="宋体" w:cs="仿宋_GB2312"/>
                <w:bCs/>
                <w:kern w:val="0"/>
                <w:sz w:val="24"/>
                <w:lang w:bidi="ar"/>
              </w:rPr>
              <w:t>遵守法律法规规章等</w:t>
            </w:r>
            <w:r>
              <w:rPr>
                <w:rFonts w:hint="eastAsia" w:ascii="宋体" w:hAnsi="宋体" w:cs="仿宋_GB2312"/>
                <w:kern w:val="0"/>
                <w:sz w:val="24"/>
                <w:lang w:bidi="ar"/>
              </w:rPr>
              <w:t>有关</w:t>
            </w:r>
            <w:r>
              <w:rPr>
                <w:rFonts w:hint="eastAsia" w:ascii="宋体" w:hAnsi="宋体" w:cs="仿宋_GB2312"/>
                <w:bCs/>
                <w:kern w:val="0"/>
                <w:sz w:val="24"/>
                <w:lang w:bidi="ar"/>
              </w:rPr>
              <w:t>规定。</w:t>
            </w:r>
          </w:p>
        </w:tc>
        <w:tc>
          <w:tcPr>
            <w:tcW w:w="1819" w:type="dxa"/>
            <w:tcBorders>
              <w:top w:val="single" w:color="auto" w:sz="4" w:space="0"/>
              <w:left w:val="single" w:color="auto" w:sz="4" w:space="0"/>
              <w:bottom w:val="single" w:color="auto" w:sz="4" w:space="0"/>
              <w:right w:val="single" w:color="auto" w:sz="4" w:space="0"/>
            </w:tcBorders>
            <w:noWrap w:val="0"/>
            <w:vAlign w:val="center"/>
          </w:tcPr>
          <w:p w14:paraId="09AF2EC5">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sz w:val="24"/>
                <w:lang w:val="en-US" w:eastAsia="zh-CN"/>
              </w:rPr>
              <w:t>符合</w:t>
            </w:r>
          </w:p>
        </w:tc>
      </w:tr>
    </w:tbl>
    <w:p w14:paraId="37C44627">
      <w:pPr>
        <w:pageBreakBefore w:val="0"/>
        <w:widowControl w:val="0"/>
        <w:kinsoku/>
        <w:overflowPunct/>
        <w:topLinePunct w:val="0"/>
        <w:autoSpaceDE/>
        <w:autoSpaceDN/>
        <w:bidi w:val="0"/>
        <w:adjustRightInd/>
        <w:snapToGrid/>
        <w:spacing w:line="560" w:lineRule="exact"/>
        <w:textAlignment w:val="auto"/>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仿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宋体-PUA">
    <w:altName w:val="宋体"/>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3D283"/>
    <w:multiLevelType w:val="multilevel"/>
    <w:tmpl w:val="8A43D283"/>
    <w:lvl w:ilvl="0" w:tentative="0">
      <w:start w:val="3"/>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C51AFF"/>
    <w:rsid w:val="02482743"/>
    <w:rsid w:val="03C1490A"/>
    <w:rsid w:val="05541196"/>
    <w:rsid w:val="057B5255"/>
    <w:rsid w:val="05F00C85"/>
    <w:rsid w:val="074D44A4"/>
    <w:rsid w:val="0B2A44FC"/>
    <w:rsid w:val="15BF2E27"/>
    <w:rsid w:val="19990988"/>
    <w:rsid w:val="1B8B54D3"/>
    <w:rsid w:val="219C5FB5"/>
    <w:rsid w:val="26EC4FBA"/>
    <w:rsid w:val="27A154D3"/>
    <w:rsid w:val="2C31106C"/>
    <w:rsid w:val="2DA059AB"/>
    <w:rsid w:val="2F53368A"/>
    <w:rsid w:val="34F34E4B"/>
    <w:rsid w:val="355359F9"/>
    <w:rsid w:val="3B4D02DD"/>
    <w:rsid w:val="3F924E0B"/>
    <w:rsid w:val="41ED15AE"/>
    <w:rsid w:val="452E7C4D"/>
    <w:rsid w:val="50A96C50"/>
    <w:rsid w:val="52943CCE"/>
    <w:rsid w:val="62850F4D"/>
    <w:rsid w:val="664F5A30"/>
    <w:rsid w:val="789A32FC"/>
    <w:rsid w:val="7DEC10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beforeLines="0" w:beforeAutospacing="0" w:afterLines="0" w:afterAutospacing="0" w:line="413" w:lineRule="auto"/>
      <w:outlineLvl w:val="1"/>
    </w:pPr>
    <w:rPr>
      <w:rFonts w:ascii="Arial" w:hAnsi="Arial" w:eastAsia="黑体" w:cs="宋体"/>
      <w:b/>
      <w:snapToGrid w:val="0"/>
      <w:color w:val="000000"/>
      <w:sz w:val="32"/>
      <w:szCs w:val="22"/>
    </w:rPr>
  </w:style>
  <w:style w:type="paragraph" w:styleId="3">
    <w:name w:val="heading 3"/>
    <w:basedOn w:val="1"/>
    <w:next w:val="1"/>
    <w:link w:val="8"/>
    <w:semiHidden/>
    <w:unhideWhenUsed/>
    <w:qFormat/>
    <w:uiPriority w:val="0"/>
    <w:pPr>
      <w:keepNext/>
      <w:keepLines/>
      <w:spacing w:line="560" w:lineRule="exact"/>
      <w:ind w:firstLine="894" w:firstLineChars="200"/>
      <w:outlineLvl w:val="2"/>
    </w:pPr>
    <w:rPr>
      <w:rFonts w:ascii="Times New Roman" w:hAnsi="Times New Roman" w:eastAsia="楷体" w:cs="仿宋_GB2312"/>
      <w:kern w:val="2"/>
      <w:sz w:val="32"/>
      <w:szCs w:val="32"/>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标题 3 Char"/>
    <w:basedOn w:val="7"/>
    <w:link w:val="3"/>
    <w:qFormat/>
    <w:uiPriority w:val="0"/>
    <w:rPr>
      <w:rFonts w:ascii="Times New Roman" w:hAnsi="Times New Roman" w:eastAsia="楷体" w:cs="仿宋_GB2312"/>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61</Pages>
  <Words>2653</Words>
  <Characters>2698</Characters>
  <Lines>0</Lines>
  <Paragraphs>0</Paragraphs>
  <TotalTime>4</TotalTime>
  <ScaleCrop>false</ScaleCrop>
  <LinksUpToDate>false</LinksUpToDate>
  <CharactersWithSpaces>2704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2026-05-09T11:14:00Z</dcterms:created>
  <dc:creator>USER</dc:creator>
  <cp:lastModifiedBy>果</cp:lastModifiedBy>
  <dcterms:modified xsi:type="dcterms:W3CDTF">2026-10-15T14:36:28Z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2AA54E6762194E139C9CFD9ECA7DAD67_12</vt:lpwstr>
  </property>
  <property fmtid="{D5CDD505-2E9C-101B-9397-08002B2CF9AE}" pid="4" name="KSOTemplateDocerSaveRecord">
    <vt:lpwstr>eyJoZGlkIjoiYzNmNTY4Yzk1MjFkZDA5M2ZkYzNjZjBhYmYwYWU3OTIiLCJ1c2VySWQiOiI0NTQ1MTIxNjQifQ==</vt:lpwstr>
  </property>
</Properties>
</file>