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EDFB82">
      <w:pPr>
        <w:widowControl w:val="0"/>
        <w:rPr>
          <w:rFonts w:hint="eastAsia" w:ascii="方正黑体_GBK" w:hAnsi="方正黑体_GBK" w:eastAsia="方正黑体_GBK"/>
        </w:rPr>
      </w:pPr>
      <w:r>
        <w:rPr>
          <w:rFonts w:hint="eastAsia" w:ascii="方正黑体_GBK" w:hAnsi="方正黑体_GBK" w:eastAsia="方正黑体_GBK"/>
        </w:rPr>
        <w:t>附件1</w:t>
      </w:r>
    </w:p>
    <w:p w14:paraId="0FD68498">
      <w:pPr>
        <w:widowControl w:val="0"/>
      </w:pPr>
    </w:p>
    <w:p w14:paraId="5F97D648">
      <w:pPr>
        <w:widowControl w:val="0"/>
        <w:jc w:val="center"/>
        <w:rPr>
          <w:rFonts w:hint="eastAsia" w:ascii="方正小标宋简体" w:eastAsia="方正小标宋简体"/>
          <w:sz w:val="44"/>
          <w:szCs w:val="44"/>
        </w:rPr>
      </w:pPr>
      <w:r>
        <w:rPr>
          <w:rFonts w:hint="eastAsia" w:ascii="方正小标宋简体" w:eastAsia="方正小标宋简体"/>
          <w:sz w:val="44"/>
          <w:szCs w:val="44"/>
        </w:rPr>
        <w:t>2026年河源市市本级高素质农民培育项目</w:t>
      </w:r>
    </w:p>
    <w:p w14:paraId="30415A4C">
      <w:pPr>
        <w:widowControl w:val="0"/>
        <w:jc w:val="center"/>
        <w:rPr>
          <w:rFonts w:hint="eastAsia" w:ascii="方正小标宋简体" w:eastAsia="方正小标宋简体"/>
          <w:sz w:val="44"/>
          <w:szCs w:val="44"/>
        </w:rPr>
      </w:pPr>
      <w:r>
        <w:rPr>
          <w:rFonts w:hint="eastAsia" w:ascii="方正小标宋简体" w:eastAsia="方正小标宋简体"/>
          <w:sz w:val="44"/>
          <w:szCs w:val="44"/>
        </w:rPr>
        <w:t>（乡村香甜食材甜品主理人）实施机构</w:t>
      </w:r>
    </w:p>
    <w:p w14:paraId="097FBEBB">
      <w:pPr>
        <w:widowControl w:val="0"/>
        <w:jc w:val="center"/>
      </w:pPr>
      <w:r>
        <w:rPr>
          <w:rFonts w:hint="eastAsia" w:ascii="方正小标宋简体" w:eastAsia="方正小标宋简体"/>
          <w:sz w:val="44"/>
          <w:szCs w:val="44"/>
        </w:rPr>
        <w:t>公开遴选评审办法</w:t>
      </w:r>
    </w:p>
    <w:p w14:paraId="7FD85A9F">
      <w:pPr>
        <w:widowControl w:val="0"/>
        <w:ind w:firstLine="640" w:firstLineChars="200"/>
        <w:rPr>
          <w:rFonts w:hint="eastAsia" w:ascii="方正黑体_GBK" w:hAnsi="方正黑体_GBK" w:eastAsia="方正黑体_GBK"/>
        </w:rPr>
      </w:pPr>
    </w:p>
    <w:p w14:paraId="04C4D00C">
      <w:pPr>
        <w:widowControl w:val="0"/>
        <w:ind w:firstLine="640" w:firstLineChars="200"/>
        <w:rPr>
          <w:rFonts w:ascii="方正黑体_GBK" w:hAnsi="方正黑体_GBK" w:eastAsia="方正黑体_GBK"/>
        </w:rPr>
      </w:pPr>
      <w:r>
        <w:rPr>
          <w:rFonts w:hint="eastAsia" w:ascii="方正黑体_GBK" w:hAnsi="方正黑体_GBK" w:eastAsia="方正黑体_GBK"/>
        </w:rPr>
        <w:t>一、评审小组</w:t>
      </w:r>
    </w:p>
    <w:p w14:paraId="53062F0B">
      <w:pPr>
        <w:widowControl w:val="0"/>
        <w:ind w:firstLine="640" w:firstLineChars="200"/>
      </w:pPr>
      <w:r>
        <w:rPr>
          <w:rFonts w:hint="eastAsia"/>
        </w:rPr>
        <w:t>在专家库随机抽取至少3名专家组成评审小组，由市局机关纪委人员担任监督员，负责评审过</w:t>
      </w:r>
      <w:r>
        <w:rPr>
          <w:rFonts w:hint="eastAsia"/>
          <w:lang w:eastAsia="zh-CN"/>
        </w:rPr>
        <w:t>程中</w:t>
      </w:r>
      <w:r>
        <w:rPr>
          <w:rFonts w:hint="eastAsia"/>
        </w:rPr>
        <w:t>的监督工作。</w:t>
      </w:r>
    </w:p>
    <w:p w14:paraId="67129656">
      <w:pPr>
        <w:widowControl w:val="0"/>
        <w:ind w:firstLine="640" w:firstLineChars="200"/>
      </w:pPr>
      <w:r>
        <w:rPr>
          <w:rFonts w:hint="eastAsia"/>
        </w:rPr>
        <w:t>主要职责：对培育机构的申报书进行开标、审查，评审推荐中标候选人。</w:t>
      </w:r>
    </w:p>
    <w:p w14:paraId="581AABCA">
      <w:pPr>
        <w:widowControl w:val="0"/>
        <w:ind w:firstLine="640" w:firstLineChars="200"/>
        <w:rPr>
          <w:rFonts w:ascii="方正黑体_GBK" w:hAnsi="方正黑体_GBK" w:eastAsia="方正黑体_GBK"/>
        </w:rPr>
      </w:pPr>
      <w:r>
        <w:rPr>
          <w:rFonts w:hint="eastAsia" w:ascii="方正黑体_GBK" w:hAnsi="方正黑体_GBK" w:eastAsia="方正黑体_GBK"/>
        </w:rPr>
        <w:t>二、评审方式</w:t>
      </w:r>
    </w:p>
    <w:p w14:paraId="52580494">
      <w:pPr>
        <w:widowControl w:val="0"/>
        <w:ind w:firstLine="640" w:firstLineChars="200"/>
      </w:pPr>
      <w:r>
        <w:rPr>
          <w:rFonts w:hint="eastAsia"/>
        </w:rPr>
        <w:t>召开现场评审会，对培育机构的标书进行现场开标、评审，推荐中标候选人。</w:t>
      </w:r>
    </w:p>
    <w:p w14:paraId="46E5A744">
      <w:pPr>
        <w:widowControl w:val="0"/>
        <w:ind w:firstLine="640" w:firstLineChars="200"/>
        <w:rPr>
          <w:rFonts w:ascii="方正黑体_GBK" w:hAnsi="方正黑体_GBK" w:eastAsia="方正黑体_GBK"/>
        </w:rPr>
      </w:pPr>
      <w:r>
        <w:rPr>
          <w:rFonts w:hint="eastAsia" w:ascii="方正黑体_GBK" w:hAnsi="方正黑体_GBK" w:eastAsia="方正黑体_GBK"/>
        </w:rPr>
        <w:t>三、评审办法及评分标准</w:t>
      </w:r>
    </w:p>
    <w:p w14:paraId="2EB3FA5E">
      <w:pPr>
        <w:widowControl w:val="0"/>
        <w:ind w:firstLine="640" w:firstLineChars="200"/>
        <w:rPr>
          <w:rFonts w:ascii="方正楷体_GBK" w:hAnsi="方正楷体_GBK" w:eastAsia="方正楷体_GBK"/>
        </w:rPr>
      </w:pPr>
      <w:r>
        <w:rPr>
          <w:rFonts w:hint="eastAsia" w:ascii="方正楷体_GBK" w:hAnsi="方正楷体_GBK" w:eastAsia="方正楷体_GBK"/>
        </w:rPr>
        <w:t>（一）资格性、符合性评审</w:t>
      </w:r>
    </w:p>
    <w:p w14:paraId="39804A4F">
      <w:pPr>
        <w:widowControl w:val="0"/>
        <w:ind w:firstLine="640" w:firstLineChars="200"/>
      </w:pPr>
      <w:r>
        <w:rPr>
          <w:rFonts w:hint="eastAsia"/>
        </w:rPr>
        <w:t>对培育机构资格性、符合性进行评审（见附件1</w:t>
      </w:r>
      <w:r>
        <w:t>-1），通过后进行综合评分。</w:t>
      </w:r>
    </w:p>
    <w:p w14:paraId="6047C4AB">
      <w:pPr>
        <w:widowControl w:val="0"/>
        <w:ind w:firstLine="640" w:firstLineChars="200"/>
        <w:rPr>
          <w:rFonts w:ascii="方正楷体_GBK" w:hAnsi="方正楷体_GBK" w:eastAsia="方正楷体_GBK"/>
        </w:rPr>
      </w:pPr>
      <w:r>
        <w:rPr>
          <w:rFonts w:hint="eastAsia" w:ascii="方正楷体_GBK" w:hAnsi="方正楷体_GBK" w:eastAsia="方正楷体_GBK"/>
        </w:rPr>
        <w:t>（二）综合评审</w:t>
      </w:r>
    </w:p>
    <w:p w14:paraId="0B688A26">
      <w:pPr>
        <w:widowControl w:val="0"/>
        <w:ind w:firstLine="640" w:firstLineChars="200"/>
      </w:pPr>
      <w:r>
        <w:rPr>
          <w:rFonts w:hint="eastAsia"/>
        </w:rPr>
        <w:t>采用综合评分法进行评标。评审小组对照以下评分标准对培育机构申报书、开班计划等遴选文件进行评审和比较，通过综合评分标准评审。计算得出所有参与遴选的培育机构的综合得分（综合得分</w:t>
      </w:r>
      <w:r>
        <w:t>=商务部分+技术部分），按照综合得分从高到低排出名次。综合得分相同的，由评审小组投票决定排名顺序，推荐排名第一的培育机构作为评选候选人。评审结果经本项目主办科室分管局领导签字确认后进行公示。公示7日无异议后，与培育机构商议签订委托培训合同书。具体评分标准</w:t>
      </w:r>
      <w:r>
        <w:rPr>
          <w:rFonts w:hint="eastAsia"/>
        </w:rPr>
        <w:t>见附件1</w:t>
      </w:r>
      <w:r>
        <w:t>-2</w:t>
      </w:r>
      <w:r>
        <w:rPr>
          <w:rFonts w:hint="eastAsia"/>
        </w:rPr>
        <w:t>。</w:t>
      </w:r>
    </w:p>
    <w:p w14:paraId="577331B1">
      <w:pPr>
        <w:widowControl w:val="0"/>
        <w:sectPr>
          <w:pgSz w:w="11906" w:h="16838"/>
          <w:pgMar w:top="1701" w:right="1474" w:bottom="1474" w:left="1474" w:header="851" w:footer="992" w:gutter="0"/>
          <w:cols w:space="425" w:num="1"/>
          <w:docGrid w:type="lines" w:linePitch="435" w:charSpace="0"/>
        </w:sectPr>
      </w:pPr>
    </w:p>
    <w:p w14:paraId="69127889">
      <w:pPr>
        <w:widowControl w:val="0"/>
        <w:rPr>
          <w:rFonts w:hint="eastAsia" w:ascii="黑体" w:hAnsi="黑体" w:eastAsia="黑体" w:cs="黑体"/>
        </w:rPr>
      </w:pPr>
      <w:r>
        <w:rPr>
          <w:rFonts w:hint="eastAsia" w:ascii="黑体" w:hAnsi="黑体" w:eastAsia="黑体" w:cs="黑体"/>
        </w:rPr>
        <w:t>附件1-1</w:t>
      </w:r>
    </w:p>
    <w:p w14:paraId="257C0F0C">
      <w:pPr>
        <w:widowControl w:val="0"/>
      </w:pPr>
    </w:p>
    <w:p w14:paraId="236BC508">
      <w:pPr>
        <w:widowControl w:val="0"/>
        <w:jc w:val="center"/>
        <w:rPr>
          <w:rFonts w:ascii="方正小标宋简体" w:eastAsia="方正小标宋简体"/>
          <w:sz w:val="36"/>
        </w:rPr>
      </w:pPr>
      <w:r>
        <w:rPr>
          <w:rFonts w:hint="eastAsia" w:ascii="方正小标宋简体" w:eastAsia="方正小标宋简体"/>
          <w:sz w:val="36"/>
        </w:rPr>
        <w:t>资格性、符合性评审表</w:t>
      </w:r>
    </w:p>
    <w:p w14:paraId="283DE1E1">
      <w:pPr>
        <w:widowControl w:val="0"/>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4"/>
        <w:gridCol w:w="996"/>
        <w:gridCol w:w="997"/>
        <w:gridCol w:w="997"/>
        <w:gridCol w:w="997"/>
        <w:gridCol w:w="997"/>
      </w:tblGrid>
      <w:tr w14:paraId="4CD7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4" w:type="dxa"/>
            <w:vAlign w:val="center"/>
          </w:tcPr>
          <w:p w14:paraId="2FAE7F34">
            <w:pPr>
              <w:widowControl w:val="0"/>
              <w:adjustRightInd w:val="0"/>
              <w:snapToGrid w:val="0"/>
              <w:spacing w:line="400" w:lineRule="exact"/>
              <w:jc w:val="center"/>
              <w:rPr>
                <w:rFonts w:ascii="方正黑体_GBK" w:hAnsi="方正黑体_GBK" w:eastAsia="方正黑体_GBK"/>
                <w:sz w:val="24"/>
              </w:rPr>
            </w:pPr>
            <w:r>
              <w:rPr>
                <w:rFonts w:hint="eastAsia" w:ascii="方正黑体_GBK" w:hAnsi="方正黑体_GBK" w:eastAsia="方正黑体_GBK"/>
                <w:sz w:val="24"/>
              </w:rPr>
              <w:t>投标人/项目</w:t>
            </w:r>
          </w:p>
        </w:tc>
        <w:tc>
          <w:tcPr>
            <w:tcW w:w="996" w:type="dxa"/>
            <w:vAlign w:val="center"/>
          </w:tcPr>
          <w:p w14:paraId="5452A915">
            <w:pPr>
              <w:widowControl w:val="0"/>
              <w:adjustRightInd w:val="0"/>
              <w:snapToGrid w:val="0"/>
              <w:spacing w:line="400" w:lineRule="exact"/>
              <w:jc w:val="center"/>
              <w:rPr>
                <w:rFonts w:ascii="方正黑体_GBK" w:hAnsi="方正黑体_GBK" w:eastAsia="方正黑体_GBK"/>
                <w:sz w:val="24"/>
              </w:rPr>
            </w:pPr>
            <w:r>
              <w:rPr>
                <w:rFonts w:hint="eastAsia" w:ascii="方正黑体_GBK" w:hAnsi="方正黑体_GBK" w:eastAsia="方正黑体_GBK"/>
                <w:sz w:val="24"/>
              </w:rPr>
              <w:t>A</w:t>
            </w:r>
          </w:p>
        </w:tc>
        <w:tc>
          <w:tcPr>
            <w:tcW w:w="997" w:type="dxa"/>
            <w:vAlign w:val="center"/>
          </w:tcPr>
          <w:p w14:paraId="022D7781">
            <w:pPr>
              <w:widowControl w:val="0"/>
              <w:adjustRightInd w:val="0"/>
              <w:snapToGrid w:val="0"/>
              <w:spacing w:line="400" w:lineRule="exact"/>
              <w:jc w:val="center"/>
              <w:rPr>
                <w:rFonts w:ascii="方正黑体_GBK" w:hAnsi="方正黑体_GBK" w:eastAsia="方正黑体_GBK"/>
                <w:sz w:val="24"/>
              </w:rPr>
            </w:pPr>
            <w:r>
              <w:rPr>
                <w:rFonts w:hint="eastAsia" w:ascii="方正黑体_GBK" w:hAnsi="方正黑体_GBK" w:eastAsia="方正黑体_GBK"/>
                <w:sz w:val="24"/>
              </w:rPr>
              <w:t>B</w:t>
            </w:r>
          </w:p>
        </w:tc>
        <w:tc>
          <w:tcPr>
            <w:tcW w:w="997" w:type="dxa"/>
            <w:vAlign w:val="center"/>
          </w:tcPr>
          <w:p w14:paraId="254E406B">
            <w:pPr>
              <w:widowControl w:val="0"/>
              <w:adjustRightInd w:val="0"/>
              <w:snapToGrid w:val="0"/>
              <w:spacing w:line="400" w:lineRule="exact"/>
              <w:jc w:val="center"/>
              <w:rPr>
                <w:rFonts w:ascii="方正黑体_GBK" w:hAnsi="方正黑体_GBK" w:eastAsia="方正黑体_GBK"/>
                <w:sz w:val="24"/>
              </w:rPr>
            </w:pPr>
            <w:r>
              <w:rPr>
                <w:rFonts w:hint="eastAsia" w:ascii="方正黑体_GBK" w:hAnsi="方正黑体_GBK" w:eastAsia="方正黑体_GBK"/>
                <w:sz w:val="24"/>
              </w:rPr>
              <w:t>C</w:t>
            </w:r>
          </w:p>
        </w:tc>
        <w:tc>
          <w:tcPr>
            <w:tcW w:w="997" w:type="dxa"/>
            <w:vAlign w:val="center"/>
          </w:tcPr>
          <w:p w14:paraId="460A1753">
            <w:pPr>
              <w:widowControl w:val="0"/>
              <w:adjustRightInd w:val="0"/>
              <w:snapToGrid w:val="0"/>
              <w:spacing w:line="400" w:lineRule="exact"/>
              <w:jc w:val="center"/>
              <w:rPr>
                <w:rFonts w:ascii="方正黑体_GBK" w:hAnsi="方正黑体_GBK" w:eastAsia="方正黑体_GBK"/>
                <w:sz w:val="24"/>
              </w:rPr>
            </w:pPr>
            <w:r>
              <w:rPr>
                <w:rFonts w:hint="eastAsia" w:ascii="方正黑体_GBK" w:hAnsi="方正黑体_GBK" w:eastAsia="方正黑体_GBK"/>
                <w:sz w:val="24"/>
              </w:rPr>
              <w:t>D</w:t>
            </w:r>
          </w:p>
        </w:tc>
        <w:tc>
          <w:tcPr>
            <w:tcW w:w="997" w:type="dxa"/>
            <w:vAlign w:val="center"/>
          </w:tcPr>
          <w:p w14:paraId="0C2D9C74">
            <w:pPr>
              <w:widowControl w:val="0"/>
              <w:adjustRightInd w:val="0"/>
              <w:snapToGrid w:val="0"/>
              <w:spacing w:line="400" w:lineRule="exact"/>
              <w:jc w:val="center"/>
              <w:rPr>
                <w:rFonts w:ascii="方正黑体_GBK" w:hAnsi="方正黑体_GBK" w:eastAsia="方正黑体_GBK"/>
                <w:sz w:val="24"/>
              </w:rPr>
            </w:pPr>
            <w:r>
              <w:rPr>
                <w:rFonts w:hint="eastAsia" w:ascii="方正黑体_GBK" w:hAnsi="方正黑体_GBK" w:eastAsia="方正黑体_GBK"/>
                <w:sz w:val="24"/>
              </w:rPr>
              <w:t>E</w:t>
            </w:r>
          </w:p>
        </w:tc>
      </w:tr>
      <w:tr w14:paraId="5EE5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3964" w:type="dxa"/>
            <w:vAlign w:val="center"/>
          </w:tcPr>
          <w:p w14:paraId="0CA176C5">
            <w:pPr>
              <w:widowControl w:val="0"/>
              <w:adjustRightInd w:val="0"/>
              <w:snapToGrid w:val="0"/>
              <w:spacing w:line="400" w:lineRule="exact"/>
              <w:rPr>
                <w:rFonts w:ascii="宋体" w:hAnsi="宋体" w:eastAsia="宋体"/>
                <w:sz w:val="24"/>
              </w:rPr>
            </w:pPr>
            <w:r>
              <w:rPr>
                <w:rFonts w:hint="eastAsia" w:ascii="宋体" w:hAnsi="宋体" w:eastAsia="宋体"/>
                <w:sz w:val="24"/>
              </w:rPr>
              <w:t>已列入农业农村部和省农业农村厅认定的高素质农民培育综合类基地入库名单</w:t>
            </w:r>
          </w:p>
        </w:tc>
        <w:tc>
          <w:tcPr>
            <w:tcW w:w="996" w:type="dxa"/>
            <w:vAlign w:val="center"/>
          </w:tcPr>
          <w:p w14:paraId="29562D73">
            <w:pPr>
              <w:widowControl w:val="0"/>
              <w:adjustRightInd w:val="0"/>
              <w:snapToGrid w:val="0"/>
              <w:spacing w:line="400" w:lineRule="exact"/>
              <w:jc w:val="center"/>
              <w:rPr>
                <w:rFonts w:ascii="宋体" w:hAnsi="宋体" w:eastAsia="宋体"/>
                <w:sz w:val="24"/>
              </w:rPr>
            </w:pPr>
          </w:p>
        </w:tc>
        <w:tc>
          <w:tcPr>
            <w:tcW w:w="997" w:type="dxa"/>
            <w:vAlign w:val="center"/>
          </w:tcPr>
          <w:p w14:paraId="6A1A4BFF">
            <w:pPr>
              <w:widowControl w:val="0"/>
              <w:adjustRightInd w:val="0"/>
              <w:snapToGrid w:val="0"/>
              <w:spacing w:line="400" w:lineRule="exact"/>
              <w:jc w:val="center"/>
              <w:rPr>
                <w:rFonts w:ascii="宋体" w:hAnsi="宋体" w:eastAsia="宋体"/>
                <w:sz w:val="24"/>
              </w:rPr>
            </w:pPr>
          </w:p>
        </w:tc>
        <w:tc>
          <w:tcPr>
            <w:tcW w:w="997" w:type="dxa"/>
            <w:vAlign w:val="center"/>
          </w:tcPr>
          <w:p w14:paraId="0DE270D2">
            <w:pPr>
              <w:widowControl w:val="0"/>
              <w:adjustRightInd w:val="0"/>
              <w:snapToGrid w:val="0"/>
              <w:spacing w:line="400" w:lineRule="exact"/>
              <w:jc w:val="center"/>
              <w:rPr>
                <w:rFonts w:ascii="宋体" w:hAnsi="宋体" w:eastAsia="宋体"/>
                <w:sz w:val="24"/>
              </w:rPr>
            </w:pPr>
          </w:p>
        </w:tc>
        <w:tc>
          <w:tcPr>
            <w:tcW w:w="997" w:type="dxa"/>
            <w:vAlign w:val="center"/>
          </w:tcPr>
          <w:p w14:paraId="430EF371">
            <w:pPr>
              <w:widowControl w:val="0"/>
              <w:adjustRightInd w:val="0"/>
              <w:snapToGrid w:val="0"/>
              <w:spacing w:line="400" w:lineRule="exact"/>
              <w:jc w:val="center"/>
              <w:rPr>
                <w:rFonts w:ascii="宋体" w:hAnsi="宋体" w:eastAsia="宋体"/>
                <w:sz w:val="24"/>
              </w:rPr>
            </w:pPr>
          </w:p>
        </w:tc>
        <w:tc>
          <w:tcPr>
            <w:tcW w:w="997" w:type="dxa"/>
            <w:vAlign w:val="center"/>
          </w:tcPr>
          <w:p w14:paraId="2F9E1702">
            <w:pPr>
              <w:widowControl w:val="0"/>
              <w:adjustRightInd w:val="0"/>
              <w:snapToGrid w:val="0"/>
              <w:spacing w:line="400" w:lineRule="exact"/>
              <w:jc w:val="center"/>
              <w:rPr>
                <w:rFonts w:ascii="宋体" w:hAnsi="宋体" w:eastAsia="宋体"/>
                <w:sz w:val="24"/>
              </w:rPr>
            </w:pPr>
          </w:p>
        </w:tc>
      </w:tr>
      <w:tr w14:paraId="6A98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3964" w:type="dxa"/>
            <w:vAlign w:val="center"/>
          </w:tcPr>
          <w:p w14:paraId="25E7A681">
            <w:pPr>
              <w:widowControl w:val="0"/>
              <w:adjustRightInd w:val="0"/>
              <w:snapToGrid w:val="0"/>
              <w:spacing w:line="400" w:lineRule="exact"/>
              <w:rPr>
                <w:rFonts w:ascii="宋体" w:hAnsi="宋体" w:eastAsia="宋体"/>
                <w:sz w:val="24"/>
              </w:rPr>
            </w:pPr>
            <w:r>
              <w:rPr>
                <w:rFonts w:hint="eastAsia" w:ascii="宋体" w:hAnsi="宋体" w:eastAsia="宋体"/>
                <w:sz w:val="24"/>
              </w:rPr>
              <w:t>成立</w:t>
            </w:r>
            <w:r>
              <w:rPr>
                <w:rFonts w:ascii="宋体" w:hAnsi="宋体" w:eastAsia="宋体"/>
                <w:sz w:val="24"/>
              </w:rPr>
              <w:t>3年以上，具有独立法人资格</w:t>
            </w:r>
          </w:p>
        </w:tc>
        <w:tc>
          <w:tcPr>
            <w:tcW w:w="996" w:type="dxa"/>
            <w:vAlign w:val="center"/>
          </w:tcPr>
          <w:p w14:paraId="42EB6E51">
            <w:pPr>
              <w:widowControl w:val="0"/>
              <w:adjustRightInd w:val="0"/>
              <w:snapToGrid w:val="0"/>
              <w:spacing w:line="400" w:lineRule="exact"/>
              <w:jc w:val="center"/>
              <w:rPr>
                <w:rFonts w:ascii="宋体" w:hAnsi="宋体" w:eastAsia="宋体"/>
                <w:sz w:val="24"/>
              </w:rPr>
            </w:pPr>
          </w:p>
        </w:tc>
        <w:tc>
          <w:tcPr>
            <w:tcW w:w="997" w:type="dxa"/>
            <w:vAlign w:val="center"/>
          </w:tcPr>
          <w:p w14:paraId="5CF3EFE4">
            <w:pPr>
              <w:widowControl w:val="0"/>
              <w:adjustRightInd w:val="0"/>
              <w:snapToGrid w:val="0"/>
              <w:spacing w:line="400" w:lineRule="exact"/>
              <w:jc w:val="center"/>
              <w:rPr>
                <w:rFonts w:ascii="宋体" w:hAnsi="宋体" w:eastAsia="宋体"/>
                <w:sz w:val="24"/>
              </w:rPr>
            </w:pPr>
          </w:p>
        </w:tc>
        <w:tc>
          <w:tcPr>
            <w:tcW w:w="997" w:type="dxa"/>
            <w:vAlign w:val="center"/>
          </w:tcPr>
          <w:p w14:paraId="1546EF33">
            <w:pPr>
              <w:widowControl w:val="0"/>
              <w:adjustRightInd w:val="0"/>
              <w:snapToGrid w:val="0"/>
              <w:spacing w:line="400" w:lineRule="exact"/>
              <w:jc w:val="center"/>
              <w:rPr>
                <w:rFonts w:ascii="宋体" w:hAnsi="宋体" w:eastAsia="宋体"/>
                <w:sz w:val="24"/>
              </w:rPr>
            </w:pPr>
          </w:p>
        </w:tc>
        <w:tc>
          <w:tcPr>
            <w:tcW w:w="997" w:type="dxa"/>
            <w:vAlign w:val="center"/>
          </w:tcPr>
          <w:p w14:paraId="5D53242F">
            <w:pPr>
              <w:widowControl w:val="0"/>
              <w:adjustRightInd w:val="0"/>
              <w:snapToGrid w:val="0"/>
              <w:spacing w:line="400" w:lineRule="exact"/>
              <w:jc w:val="center"/>
              <w:rPr>
                <w:rFonts w:ascii="宋体" w:hAnsi="宋体" w:eastAsia="宋体"/>
                <w:sz w:val="24"/>
              </w:rPr>
            </w:pPr>
          </w:p>
        </w:tc>
        <w:tc>
          <w:tcPr>
            <w:tcW w:w="997" w:type="dxa"/>
            <w:vAlign w:val="center"/>
          </w:tcPr>
          <w:p w14:paraId="59A002CD">
            <w:pPr>
              <w:widowControl w:val="0"/>
              <w:adjustRightInd w:val="0"/>
              <w:snapToGrid w:val="0"/>
              <w:spacing w:line="400" w:lineRule="exact"/>
              <w:jc w:val="center"/>
              <w:rPr>
                <w:rFonts w:ascii="宋体" w:hAnsi="宋体" w:eastAsia="宋体"/>
                <w:sz w:val="24"/>
              </w:rPr>
            </w:pPr>
          </w:p>
        </w:tc>
      </w:tr>
      <w:tr w14:paraId="34EC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3964" w:type="dxa"/>
            <w:vAlign w:val="center"/>
          </w:tcPr>
          <w:p w14:paraId="7418582A">
            <w:pPr>
              <w:widowControl w:val="0"/>
              <w:adjustRightInd w:val="0"/>
              <w:snapToGrid w:val="0"/>
              <w:spacing w:line="400" w:lineRule="exact"/>
              <w:rPr>
                <w:rFonts w:ascii="宋体" w:hAnsi="宋体" w:eastAsia="宋体"/>
                <w:sz w:val="24"/>
              </w:rPr>
            </w:pPr>
            <w:r>
              <w:rPr>
                <w:rFonts w:hint="eastAsia" w:ascii="宋体" w:hAnsi="宋体" w:eastAsia="宋体"/>
                <w:sz w:val="24"/>
              </w:rPr>
              <w:t>具有教育、培训相关职能、资质或主营业务范围</w:t>
            </w:r>
          </w:p>
        </w:tc>
        <w:tc>
          <w:tcPr>
            <w:tcW w:w="996" w:type="dxa"/>
            <w:vAlign w:val="center"/>
          </w:tcPr>
          <w:p w14:paraId="64FB42EF">
            <w:pPr>
              <w:widowControl w:val="0"/>
              <w:adjustRightInd w:val="0"/>
              <w:snapToGrid w:val="0"/>
              <w:spacing w:line="400" w:lineRule="exact"/>
              <w:jc w:val="center"/>
              <w:rPr>
                <w:rFonts w:ascii="宋体" w:hAnsi="宋体" w:eastAsia="宋体"/>
                <w:sz w:val="24"/>
              </w:rPr>
            </w:pPr>
          </w:p>
        </w:tc>
        <w:tc>
          <w:tcPr>
            <w:tcW w:w="997" w:type="dxa"/>
            <w:vAlign w:val="center"/>
          </w:tcPr>
          <w:p w14:paraId="1643B872">
            <w:pPr>
              <w:widowControl w:val="0"/>
              <w:adjustRightInd w:val="0"/>
              <w:snapToGrid w:val="0"/>
              <w:spacing w:line="400" w:lineRule="exact"/>
              <w:jc w:val="center"/>
              <w:rPr>
                <w:rFonts w:ascii="宋体" w:hAnsi="宋体" w:eastAsia="宋体"/>
                <w:sz w:val="24"/>
              </w:rPr>
            </w:pPr>
          </w:p>
        </w:tc>
        <w:tc>
          <w:tcPr>
            <w:tcW w:w="997" w:type="dxa"/>
            <w:vAlign w:val="center"/>
          </w:tcPr>
          <w:p w14:paraId="3F07BD4A">
            <w:pPr>
              <w:widowControl w:val="0"/>
              <w:adjustRightInd w:val="0"/>
              <w:snapToGrid w:val="0"/>
              <w:spacing w:line="400" w:lineRule="exact"/>
              <w:jc w:val="center"/>
              <w:rPr>
                <w:rFonts w:ascii="宋体" w:hAnsi="宋体" w:eastAsia="宋体"/>
                <w:sz w:val="24"/>
              </w:rPr>
            </w:pPr>
          </w:p>
        </w:tc>
        <w:tc>
          <w:tcPr>
            <w:tcW w:w="997" w:type="dxa"/>
            <w:vAlign w:val="center"/>
          </w:tcPr>
          <w:p w14:paraId="26F58B7D">
            <w:pPr>
              <w:widowControl w:val="0"/>
              <w:adjustRightInd w:val="0"/>
              <w:snapToGrid w:val="0"/>
              <w:spacing w:line="400" w:lineRule="exact"/>
              <w:jc w:val="center"/>
              <w:rPr>
                <w:rFonts w:ascii="宋体" w:hAnsi="宋体" w:eastAsia="宋体"/>
                <w:sz w:val="24"/>
              </w:rPr>
            </w:pPr>
          </w:p>
        </w:tc>
        <w:tc>
          <w:tcPr>
            <w:tcW w:w="997" w:type="dxa"/>
            <w:vAlign w:val="center"/>
          </w:tcPr>
          <w:p w14:paraId="34F4F874">
            <w:pPr>
              <w:widowControl w:val="0"/>
              <w:adjustRightInd w:val="0"/>
              <w:snapToGrid w:val="0"/>
              <w:spacing w:line="400" w:lineRule="exact"/>
              <w:jc w:val="center"/>
              <w:rPr>
                <w:rFonts w:ascii="宋体" w:hAnsi="宋体" w:eastAsia="宋体"/>
                <w:sz w:val="24"/>
              </w:rPr>
            </w:pPr>
          </w:p>
        </w:tc>
      </w:tr>
      <w:tr w14:paraId="00E7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3964" w:type="dxa"/>
            <w:vAlign w:val="center"/>
          </w:tcPr>
          <w:p w14:paraId="65E93DB0">
            <w:pPr>
              <w:widowControl w:val="0"/>
              <w:adjustRightInd w:val="0"/>
              <w:snapToGrid w:val="0"/>
              <w:spacing w:line="400" w:lineRule="exact"/>
              <w:rPr>
                <w:rFonts w:ascii="宋体" w:hAnsi="宋体" w:eastAsia="宋体"/>
                <w:sz w:val="24"/>
              </w:rPr>
            </w:pPr>
            <w:r>
              <w:rPr>
                <w:rFonts w:hint="eastAsia" w:ascii="宋体" w:hAnsi="宋体" w:eastAsia="宋体"/>
                <w:sz w:val="24"/>
              </w:rPr>
              <w:t>满足培育需要的教学场所及教学设施设备</w:t>
            </w:r>
          </w:p>
        </w:tc>
        <w:tc>
          <w:tcPr>
            <w:tcW w:w="996" w:type="dxa"/>
            <w:vAlign w:val="center"/>
          </w:tcPr>
          <w:p w14:paraId="3FF065A0">
            <w:pPr>
              <w:widowControl w:val="0"/>
              <w:adjustRightInd w:val="0"/>
              <w:snapToGrid w:val="0"/>
              <w:spacing w:line="400" w:lineRule="exact"/>
              <w:jc w:val="center"/>
              <w:rPr>
                <w:rFonts w:ascii="宋体" w:hAnsi="宋体" w:eastAsia="宋体"/>
                <w:sz w:val="24"/>
              </w:rPr>
            </w:pPr>
          </w:p>
        </w:tc>
        <w:tc>
          <w:tcPr>
            <w:tcW w:w="997" w:type="dxa"/>
            <w:vAlign w:val="center"/>
          </w:tcPr>
          <w:p w14:paraId="0477790E">
            <w:pPr>
              <w:widowControl w:val="0"/>
              <w:adjustRightInd w:val="0"/>
              <w:snapToGrid w:val="0"/>
              <w:spacing w:line="400" w:lineRule="exact"/>
              <w:jc w:val="center"/>
              <w:rPr>
                <w:rFonts w:ascii="宋体" w:hAnsi="宋体" w:eastAsia="宋体"/>
                <w:sz w:val="24"/>
              </w:rPr>
            </w:pPr>
          </w:p>
        </w:tc>
        <w:tc>
          <w:tcPr>
            <w:tcW w:w="997" w:type="dxa"/>
            <w:vAlign w:val="center"/>
          </w:tcPr>
          <w:p w14:paraId="766BBDF6">
            <w:pPr>
              <w:widowControl w:val="0"/>
              <w:adjustRightInd w:val="0"/>
              <w:snapToGrid w:val="0"/>
              <w:spacing w:line="400" w:lineRule="exact"/>
              <w:jc w:val="center"/>
              <w:rPr>
                <w:rFonts w:ascii="宋体" w:hAnsi="宋体" w:eastAsia="宋体"/>
                <w:sz w:val="24"/>
              </w:rPr>
            </w:pPr>
          </w:p>
        </w:tc>
        <w:tc>
          <w:tcPr>
            <w:tcW w:w="997" w:type="dxa"/>
            <w:vAlign w:val="center"/>
          </w:tcPr>
          <w:p w14:paraId="1E638932">
            <w:pPr>
              <w:widowControl w:val="0"/>
              <w:adjustRightInd w:val="0"/>
              <w:snapToGrid w:val="0"/>
              <w:spacing w:line="400" w:lineRule="exact"/>
              <w:jc w:val="center"/>
              <w:rPr>
                <w:rFonts w:ascii="宋体" w:hAnsi="宋体" w:eastAsia="宋体"/>
                <w:sz w:val="24"/>
              </w:rPr>
            </w:pPr>
          </w:p>
        </w:tc>
        <w:tc>
          <w:tcPr>
            <w:tcW w:w="997" w:type="dxa"/>
            <w:vAlign w:val="center"/>
          </w:tcPr>
          <w:p w14:paraId="6B92FC55">
            <w:pPr>
              <w:widowControl w:val="0"/>
              <w:adjustRightInd w:val="0"/>
              <w:snapToGrid w:val="0"/>
              <w:spacing w:line="400" w:lineRule="exact"/>
              <w:jc w:val="center"/>
              <w:rPr>
                <w:rFonts w:ascii="宋体" w:hAnsi="宋体" w:eastAsia="宋体"/>
                <w:sz w:val="24"/>
              </w:rPr>
            </w:pPr>
          </w:p>
        </w:tc>
      </w:tr>
      <w:tr w14:paraId="46BB1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3964" w:type="dxa"/>
            <w:vAlign w:val="center"/>
          </w:tcPr>
          <w:p w14:paraId="4192B77B">
            <w:pPr>
              <w:widowControl w:val="0"/>
              <w:adjustRightInd w:val="0"/>
              <w:snapToGrid w:val="0"/>
              <w:spacing w:line="400" w:lineRule="exact"/>
              <w:rPr>
                <w:rFonts w:ascii="宋体" w:hAnsi="宋体" w:eastAsia="宋体"/>
                <w:sz w:val="24"/>
              </w:rPr>
            </w:pPr>
            <w:r>
              <w:rPr>
                <w:rFonts w:hint="eastAsia" w:ascii="宋体" w:hAnsi="宋体" w:eastAsia="宋体"/>
                <w:sz w:val="24"/>
              </w:rPr>
              <w:t>具备专职教学管理人员和与培育主题相匹配的专兼职师资</w:t>
            </w:r>
          </w:p>
        </w:tc>
        <w:tc>
          <w:tcPr>
            <w:tcW w:w="996" w:type="dxa"/>
            <w:vAlign w:val="center"/>
          </w:tcPr>
          <w:p w14:paraId="3495BBF5">
            <w:pPr>
              <w:widowControl w:val="0"/>
              <w:adjustRightInd w:val="0"/>
              <w:snapToGrid w:val="0"/>
              <w:spacing w:line="400" w:lineRule="exact"/>
              <w:jc w:val="center"/>
              <w:rPr>
                <w:rFonts w:ascii="宋体" w:hAnsi="宋体" w:eastAsia="宋体"/>
                <w:sz w:val="24"/>
              </w:rPr>
            </w:pPr>
          </w:p>
        </w:tc>
        <w:tc>
          <w:tcPr>
            <w:tcW w:w="997" w:type="dxa"/>
            <w:vAlign w:val="center"/>
          </w:tcPr>
          <w:p w14:paraId="6F5875E0">
            <w:pPr>
              <w:widowControl w:val="0"/>
              <w:adjustRightInd w:val="0"/>
              <w:snapToGrid w:val="0"/>
              <w:spacing w:line="400" w:lineRule="exact"/>
              <w:jc w:val="center"/>
              <w:rPr>
                <w:rFonts w:ascii="宋体" w:hAnsi="宋体" w:eastAsia="宋体"/>
                <w:sz w:val="24"/>
              </w:rPr>
            </w:pPr>
          </w:p>
        </w:tc>
        <w:tc>
          <w:tcPr>
            <w:tcW w:w="997" w:type="dxa"/>
            <w:vAlign w:val="center"/>
          </w:tcPr>
          <w:p w14:paraId="2FAF0458">
            <w:pPr>
              <w:widowControl w:val="0"/>
              <w:adjustRightInd w:val="0"/>
              <w:snapToGrid w:val="0"/>
              <w:spacing w:line="400" w:lineRule="exact"/>
              <w:jc w:val="center"/>
              <w:rPr>
                <w:rFonts w:ascii="宋体" w:hAnsi="宋体" w:eastAsia="宋体"/>
                <w:sz w:val="24"/>
              </w:rPr>
            </w:pPr>
          </w:p>
        </w:tc>
        <w:tc>
          <w:tcPr>
            <w:tcW w:w="997" w:type="dxa"/>
            <w:vAlign w:val="center"/>
          </w:tcPr>
          <w:p w14:paraId="68466215">
            <w:pPr>
              <w:widowControl w:val="0"/>
              <w:adjustRightInd w:val="0"/>
              <w:snapToGrid w:val="0"/>
              <w:spacing w:line="400" w:lineRule="exact"/>
              <w:jc w:val="center"/>
              <w:rPr>
                <w:rFonts w:ascii="宋体" w:hAnsi="宋体" w:eastAsia="宋体"/>
                <w:sz w:val="24"/>
              </w:rPr>
            </w:pPr>
          </w:p>
        </w:tc>
        <w:tc>
          <w:tcPr>
            <w:tcW w:w="997" w:type="dxa"/>
            <w:vAlign w:val="center"/>
          </w:tcPr>
          <w:p w14:paraId="6F2DAFB8">
            <w:pPr>
              <w:widowControl w:val="0"/>
              <w:adjustRightInd w:val="0"/>
              <w:snapToGrid w:val="0"/>
              <w:spacing w:line="400" w:lineRule="exact"/>
              <w:jc w:val="center"/>
              <w:rPr>
                <w:rFonts w:ascii="宋体" w:hAnsi="宋体" w:eastAsia="宋体"/>
                <w:sz w:val="24"/>
              </w:rPr>
            </w:pPr>
          </w:p>
        </w:tc>
      </w:tr>
      <w:tr w14:paraId="74C8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1" w:hRule="atLeast"/>
        </w:trPr>
        <w:tc>
          <w:tcPr>
            <w:tcW w:w="3964" w:type="dxa"/>
            <w:vAlign w:val="center"/>
          </w:tcPr>
          <w:p w14:paraId="13287DB3">
            <w:pPr>
              <w:widowControl w:val="0"/>
              <w:adjustRightInd w:val="0"/>
              <w:snapToGrid w:val="0"/>
              <w:spacing w:line="400" w:lineRule="exact"/>
              <w:rPr>
                <w:rFonts w:ascii="宋体" w:hAnsi="宋体" w:eastAsia="宋体"/>
                <w:sz w:val="24"/>
              </w:rPr>
            </w:pPr>
            <w:r>
              <w:rPr>
                <w:rFonts w:hint="eastAsia" w:ascii="宋体" w:hAnsi="宋体" w:eastAsia="宋体"/>
                <w:sz w:val="24"/>
              </w:rPr>
              <w:t>培育机构未被列入“信用中国”中“记录失信被执行人或重大税收违法案件当事人名单或政府采购严重违法失信行为”记录名单；不处于中国政府采购网中“政府采购严重违法失信行为信息记录”的禁止参加政府采购活动期间</w:t>
            </w:r>
          </w:p>
        </w:tc>
        <w:tc>
          <w:tcPr>
            <w:tcW w:w="996" w:type="dxa"/>
            <w:vAlign w:val="center"/>
          </w:tcPr>
          <w:p w14:paraId="136AE70A">
            <w:pPr>
              <w:widowControl w:val="0"/>
              <w:adjustRightInd w:val="0"/>
              <w:snapToGrid w:val="0"/>
              <w:spacing w:line="400" w:lineRule="exact"/>
              <w:jc w:val="center"/>
              <w:rPr>
                <w:rFonts w:ascii="宋体" w:hAnsi="宋体" w:eastAsia="宋体"/>
                <w:sz w:val="24"/>
              </w:rPr>
            </w:pPr>
          </w:p>
        </w:tc>
        <w:tc>
          <w:tcPr>
            <w:tcW w:w="997" w:type="dxa"/>
            <w:vAlign w:val="center"/>
          </w:tcPr>
          <w:p w14:paraId="072E2827">
            <w:pPr>
              <w:widowControl w:val="0"/>
              <w:adjustRightInd w:val="0"/>
              <w:snapToGrid w:val="0"/>
              <w:spacing w:line="400" w:lineRule="exact"/>
              <w:jc w:val="center"/>
              <w:rPr>
                <w:rFonts w:ascii="宋体" w:hAnsi="宋体" w:eastAsia="宋体"/>
                <w:sz w:val="24"/>
              </w:rPr>
            </w:pPr>
          </w:p>
        </w:tc>
        <w:tc>
          <w:tcPr>
            <w:tcW w:w="997" w:type="dxa"/>
            <w:vAlign w:val="center"/>
          </w:tcPr>
          <w:p w14:paraId="10C71884">
            <w:pPr>
              <w:widowControl w:val="0"/>
              <w:adjustRightInd w:val="0"/>
              <w:snapToGrid w:val="0"/>
              <w:spacing w:line="400" w:lineRule="exact"/>
              <w:jc w:val="center"/>
              <w:rPr>
                <w:rFonts w:ascii="宋体" w:hAnsi="宋体" w:eastAsia="宋体"/>
                <w:sz w:val="24"/>
              </w:rPr>
            </w:pPr>
          </w:p>
        </w:tc>
        <w:tc>
          <w:tcPr>
            <w:tcW w:w="997" w:type="dxa"/>
            <w:vAlign w:val="center"/>
          </w:tcPr>
          <w:p w14:paraId="41044A35">
            <w:pPr>
              <w:widowControl w:val="0"/>
              <w:adjustRightInd w:val="0"/>
              <w:snapToGrid w:val="0"/>
              <w:spacing w:line="400" w:lineRule="exact"/>
              <w:jc w:val="center"/>
              <w:rPr>
                <w:rFonts w:ascii="宋体" w:hAnsi="宋体" w:eastAsia="宋体"/>
                <w:sz w:val="24"/>
              </w:rPr>
            </w:pPr>
          </w:p>
        </w:tc>
        <w:tc>
          <w:tcPr>
            <w:tcW w:w="997" w:type="dxa"/>
            <w:vAlign w:val="center"/>
          </w:tcPr>
          <w:p w14:paraId="5C9FAD51">
            <w:pPr>
              <w:widowControl w:val="0"/>
              <w:adjustRightInd w:val="0"/>
              <w:snapToGrid w:val="0"/>
              <w:spacing w:line="400" w:lineRule="exact"/>
              <w:jc w:val="center"/>
              <w:rPr>
                <w:rFonts w:ascii="宋体" w:hAnsi="宋体" w:eastAsia="宋体"/>
                <w:sz w:val="24"/>
              </w:rPr>
            </w:pPr>
          </w:p>
        </w:tc>
      </w:tr>
      <w:tr w14:paraId="4919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3964" w:type="dxa"/>
            <w:vAlign w:val="center"/>
          </w:tcPr>
          <w:p w14:paraId="59B96A63">
            <w:pPr>
              <w:widowControl w:val="0"/>
              <w:adjustRightInd w:val="0"/>
              <w:snapToGrid w:val="0"/>
              <w:spacing w:line="400" w:lineRule="exact"/>
              <w:jc w:val="center"/>
              <w:rPr>
                <w:rFonts w:ascii="宋体" w:hAnsi="宋体" w:eastAsia="宋体"/>
                <w:sz w:val="24"/>
              </w:rPr>
            </w:pPr>
            <w:r>
              <w:rPr>
                <w:rFonts w:hint="eastAsia" w:ascii="宋体" w:hAnsi="宋体" w:eastAsia="宋体"/>
                <w:sz w:val="24"/>
              </w:rPr>
              <w:t>是否通过（填“是”或“否”）</w:t>
            </w:r>
          </w:p>
        </w:tc>
        <w:tc>
          <w:tcPr>
            <w:tcW w:w="996" w:type="dxa"/>
            <w:vAlign w:val="center"/>
          </w:tcPr>
          <w:p w14:paraId="39334DAE">
            <w:pPr>
              <w:widowControl w:val="0"/>
              <w:adjustRightInd w:val="0"/>
              <w:snapToGrid w:val="0"/>
              <w:spacing w:line="400" w:lineRule="exact"/>
              <w:jc w:val="center"/>
              <w:rPr>
                <w:rFonts w:ascii="宋体" w:hAnsi="宋体" w:eastAsia="宋体"/>
                <w:sz w:val="24"/>
              </w:rPr>
            </w:pPr>
          </w:p>
        </w:tc>
        <w:tc>
          <w:tcPr>
            <w:tcW w:w="997" w:type="dxa"/>
            <w:vAlign w:val="center"/>
          </w:tcPr>
          <w:p w14:paraId="0037CD67">
            <w:pPr>
              <w:widowControl w:val="0"/>
              <w:adjustRightInd w:val="0"/>
              <w:snapToGrid w:val="0"/>
              <w:spacing w:line="400" w:lineRule="exact"/>
              <w:jc w:val="center"/>
              <w:rPr>
                <w:rFonts w:ascii="宋体" w:hAnsi="宋体" w:eastAsia="宋体"/>
                <w:sz w:val="24"/>
              </w:rPr>
            </w:pPr>
          </w:p>
        </w:tc>
        <w:tc>
          <w:tcPr>
            <w:tcW w:w="997" w:type="dxa"/>
            <w:vAlign w:val="center"/>
          </w:tcPr>
          <w:p w14:paraId="77CF9CF1">
            <w:pPr>
              <w:widowControl w:val="0"/>
              <w:adjustRightInd w:val="0"/>
              <w:snapToGrid w:val="0"/>
              <w:spacing w:line="400" w:lineRule="exact"/>
              <w:jc w:val="center"/>
              <w:rPr>
                <w:rFonts w:ascii="宋体" w:hAnsi="宋体" w:eastAsia="宋体"/>
                <w:sz w:val="24"/>
              </w:rPr>
            </w:pPr>
          </w:p>
        </w:tc>
        <w:tc>
          <w:tcPr>
            <w:tcW w:w="997" w:type="dxa"/>
            <w:vAlign w:val="center"/>
          </w:tcPr>
          <w:p w14:paraId="72C4B00D">
            <w:pPr>
              <w:widowControl w:val="0"/>
              <w:adjustRightInd w:val="0"/>
              <w:snapToGrid w:val="0"/>
              <w:spacing w:line="400" w:lineRule="exact"/>
              <w:jc w:val="center"/>
              <w:rPr>
                <w:rFonts w:ascii="宋体" w:hAnsi="宋体" w:eastAsia="宋体"/>
                <w:sz w:val="24"/>
              </w:rPr>
            </w:pPr>
          </w:p>
        </w:tc>
        <w:tc>
          <w:tcPr>
            <w:tcW w:w="997" w:type="dxa"/>
            <w:vAlign w:val="center"/>
          </w:tcPr>
          <w:p w14:paraId="7EA2DD87">
            <w:pPr>
              <w:widowControl w:val="0"/>
              <w:adjustRightInd w:val="0"/>
              <w:snapToGrid w:val="0"/>
              <w:spacing w:line="400" w:lineRule="exact"/>
              <w:jc w:val="center"/>
              <w:rPr>
                <w:rFonts w:ascii="宋体" w:hAnsi="宋体" w:eastAsia="宋体"/>
                <w:sz w:val="24"/>
              </w:rPr>
            </w:pPr>
          </w:p>
        </w:tc>
      </w:tr>
      <w:tr w14:paraId="4CC9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3964" w:type="dxa"/>
            <w:vAlign w:val="center"/>
          </w:tcPr>
          <w:p w14:paraId="13293994">
            <w:pPr>
              <w:widowControl w:val="0"/>
              <w:adjustRightInd w:val="0"/>
              <w:snapToGrid w:val="0"/>
              <w:spacing w:line="400" w:lineRule="exact"/>
              <w:jc w:val="center"/>
              <w:rPr>
                <w:rFonts w:ascii="宋体" w:hAnsi="宋体" w:eastAsia="宋体"/>
                <w:sz w:val="24"/>
              </w:rPr>
            </w:pPr>
            <w:r>
              <w:rPr>
                <w:rFonts w:hint="eastAsia" w:ascii="宋体" w:hAnsi="宋体" w:eastAsia="宋体"/>
                <w:sz w:val="24"/>
              </w:rPr>
              <w:t>评审小组人员签名</w:t>
            </w:r>
          </w:p>
        </w:tc>
        <w:tc>
          <w:tcPr>
            <w:tcW w:w="4984" w:type="dxa"/>
            <w:gridSpan w:val="5"/>
            <w:vAlign w:val="center"/>
          </w:tcPr>
          <w:p w14:paraId="0FE484DA">
            <w:pPr>
              <w:widowControl w:val="0"/>
              <w:adjustRightInd w:val="0"/>
              <w:snapToGrid w:val="0"/>
              <w:spacing w:line="400" w:lineRule="exact"/>
              <w:jc w:val="center"/>
              <w:rPr>
                <w:rFonts w:ascii="宋体" w:hAnsi="宋体" w:eastAsia="宋体"/>
                <w:sz w:val="24"/>
              </w:rPr>
            </w:pPr>
          </w:p>
        </w:tc>
      </w:tr>
      <w:tr w14:paraId="1049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3964" w:type="dxa"/>
            <w:vAlign w:val="center"/>
          </w:tcPr>
          <w:p w14:paraId="2EA410A1">
            <w:pPr>
              <w:widowControl w:val="0"/>
              <w:adjustRightInd w:val="0"/>
              <w:snapToGrid w:val="0"/>
              <w:spacing w:line="400" w:lineRule="exact"/>
              <w:jc w:val="center"/>
              <w:rPr>
                <w:rFonts w:ascii="宋体" w:hAnsi="宋体" w:eastAsia="宋体"/>
                <w:sz w:val="24"/>
              </w:rPr>
            </w:pPr>
            <w:r>
              <w:rPr>
                <w:rFonts w:hint="eastAsia" w:ascii="宋体" w:hAnsi="宋体" w:eastAsia="宋体"/>
                <w:sz w:val="24"/>
              </w:rPr>
              <w:t>评审日期</w:t>
            </w:r>
          </w:p>
        </w:tc>
        <w:tc>
          <w:tcPr>
            <w:tcW w:w="4984" w:type="dxa"/>
            <w:gridSpan w:val="5"/>
            <w:vAlign w:val="center"/>
          </w:tcPr>
          <w:p w14:paraId="253F8120">
            <w:pPr>
              <w:widowControl w:val="0"/>
              <w:adjustRightInd w:val="0"/>
              <w:snapToGrid w:val="0"/>
              <w:spacing w:line="400" w:lineRule="exact"/>
              <w:jc w:val="center"/>
              <w:rPr>
                <w:rFonts w:ascii="宋体" w:hAnsi="宋体" w:eastAsia="宋体"/>
                <w:sz w:val="24"/>
              </w:rPr>
            </w:pPr>
          </w:p>
        </w:tc>
      </w:tr>
    </w:tbl>
    <w:p w14:paraId="28768D9F">
      <w:pPr>
        <w:widowControl w:val="0"/>
        <w:sectPr>
          <w:pgSz w:w="11906" w:h="16838"/>
          <w:pgMar w:top="1701" w:right="1474" w:bottom="1474" w:left="1474" w:header="851" w:footer="992" w:gutter="0"/>
          <w:cols w:space="425" w:num="1"/>
          <w:docGrid w:type="lines" w:linePitch="435" w:charSpace="0"/>
        </w:sectPr>
      </w:pPr>
    </w:p>
    <w:p w14:paraId="0804BAF2">
      <w:pPr>
        <w:widowControl w:val="0"/>
        <w:rPr>
          <w:rFonts w:hint="eastAsia" w:ascii="黑体" w:hAnsi="黑体" w:eastAsia="黑体" w:cs="黑体"/>
        </w:rPr>
      </w:pPr>
      <w:r>
        <w:rPr>
          <w:rFonts w:hint="eastAsia" w:ascii="黑体" w:hAnsi="黑体" w:eastAsia="黑体" w:cs="黑体"/>
        </w:rPr>
        <w:t>附件1-2</w:t>
      </w:r>
    </w:p>
    <w:p w14:paraId="3DA70EB4">
      <w:pPr>
        <w:widowControl w:val="0"/>
      </w:pPr>
    </w:p>
    <w:p w14:paraId="0FE0FF4F">
      <w:pPr>
        <w:widowControl w:val="0"/>
        <w:jc w:val="center"/>
        <w:rPr>
          <w:rFonts w:ascii="方正小标宋简体" w:eastAsia="方正小标宋简体"/>
          <w:sz w:val="36"/>
        </w:rPr>
      </w:pPr>
      <w:r>
        <w:rPr>
          <w:rFonts w:hint="eastAsia" w:ascii="方正小标宋简体" w:eastAsia="方正小标宋简体"/>
          <w:sz w:val="36"/>
        </w:rPr>
        <w:t>评分标准</w:t>
      </w:r>
    </w:p>
    <w:p w14:paraId="55491B01">
      <w:pPr>
        <w:widowControl w:val="0"/>
      </w:pPr>
    </w:p>
    <w:tbl>
      <w:tblPr>
        <w:tblStyle w:val="6"/>
        <w:tblW w:w="1020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992"/>
        <w:gridCol w:w="851"/>
        <w:gridCol w:w="7512"/>
      </w:tblGrid>
      <w:tr w14:paraId="6015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694" w:type="dxa"/>
            <w:gridSpan w:val="3"/>
            <w:vAlign w:val="center"/>
          </w:tcPr>
          <w:p w14:paraId="262D55E7">
            <w:pPr>
              <w:widowControl w:val="0"/>
              <w:spacing w:line="320" w:lineRule="exact"/>
              <w:jc w:val="center"/>
              <w:rPr>
                <w:rFonts w:ascii="方正黑体_GBK" w:hAnsi="方正黑体_GBK" w:eastAsia="方正黑体_GBK"/>
                <w:sz w:val="24"/>
              </w:rPr>
            </w:pPr>
            <w:r>
              <w:rPr>
                <w:rFonts w:hint="eastAsia" w:ascii="方正黑体_GBK" w:hAnsi="方正黑体_GBK" w:eastAsia="方正黑体_GBK"/>
                <w:sz w:val="24"/>
              </w:rPr>
              <w:t>分值构成</w:t>
            </w:r>
          </w:p>
        </w:tc>
        <w:tc>
          <w:tcPr>
            <w:tcW w:w="7512" w:type="dxa"/>
            <w:vAlign w:val="center"/>
          </w:tcPr>
          <w:p w14:paraId="34454281">
            <w:pPr>
              <w:widowControl w:val="0"/>
              <w:spacing w:line="320" w:lineRule="exact"/>
              <w:jc w:val="center"/>
              <w:rPr>
                <w:rFonts w:ascii="方正黑体_GBK" w:hAnsi="方正黑体_GBK" w:eastAsia="方正黑体_GBK"/>
                <w:sz w:val="24"/>
              </w:rPr>
            </w:pPr>
            <w:r>
              <w:rPr>
                <w:rFonts w:hint="eastAsia" w:ascii="方正黑体_GBK" w:hAnsi="方正黑体_GBK" w:eastAsia="方正黑体_GBK"/>
                <w:sz w:val="24"/>
              </w:rPr>
              <w:t>商务部分4</w:t>
            </w:r>
            <w:r>
              <w:rPr>
                <w:rFonts w:ascii="方正黑体_GBK" w:hAnsi="方正黑体_GBK" w:eastAsia="方正黑体_GBK"/>
                <w:sz w:val="24"/>
              </w:rPr>
              <w:t>0</w:t>
            </w:r>
            <w:r>
              <w:rPr>
                <w:rFonts w:hint="eastAsia" w:ascii="方正黑体_GBK" w:hAnsi="方正黑体_GBK" w:eastAsia="方正黑体_GBK"/>
                <w:sz w:val="24"/>
              </w:rPr>
              <w:t>分、技术部分6</w:t>
            </w:r>
            <w:r>
              <w:rPr>
                <w:rFonts w:ascii="方正黑体_GBK" w:hAnsi="方正黑体_GBK" w:eastAsia="方正黑体_GBK"/>
                <w:sz w:val="24"/>
              </w:rPr>
              <w:t>0</w:t>
            </w:r>
            <w:r>
              <w:rPr>
                <w:rFonts w:hint="eastAsia" w:ascii="方正黑体_GBK" w:hAnsi="方正黑体_GBK" w:eastAsia="方正黑体_GBK"/>
                <w:sz w:val="24"/>
              </w:rPr>
              <w:t>分</w:t>
            </w:r>
          </w:p>
        </w:tc>
      </w:tr>
      <w:tr w14:paraId="0873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851" w:type="dxa"/>
            <w:vAlign w:val="center"/>
          </w:tcPr>
          <w:p w14:paraId="25DB9DAB">
            <w:pPr>
              <w:widowControl w:val="0"/>
              <w:spacing w:line="320" w:lineRule="exact"/>
              <w:jc w:val="center"/>
              <w:rPr>
                <w:rFonts w:ascii="宋体" w:hAnsi="宋体" w:eastAsia="宋体"/>
                <w:sz w:val="24"/>
              </w:rPr>
            </w:pPr>
            <w:r>
              <w:rPr>
                <w:rFonts w:hint="eastAsia" w:ascii="宋体" w:hAnsi="宋体" w:eastAsia="宋体"/>
                <w:sz w:val="24"/>
              </w:rPr>
              <w:t>评分因素</w:t>
            </w:r>
          </w:p>
        </w:tc>
        <w:tc>
          <w:tcPr>
            <w:tcW w:w="992" w:type="dxa"/>
            <w:vAlign w:val="center"/>
          </w:tcPr>
          <w:p w14:paraId="753C7B2A">
            <w:pPr>
              <w:widowControl w:val="0"/>
              <w:spacing w:line="320" w:lineRule="exact"/>
              <w:jc w:val="center"/>
              <w:rPr>
                <w:rFonts w:ascii="宋体" w:hAnsi="宋体" w:eastAsia="宋体"/>
                <w:sz w:val="24"/>
              </w:rPr>
            </w:pPr>
            <w:r>
              <w:rPr>
                <w:rFonts w:hint="eastAsia" w:ascii="宋体" w:hAnsi="宋体" w:eastAsia="宋体"/>
                <w:sz w:val="24"/>
              </w:rPr>
              <w:t>评分项目</w:t>
            </w:r>
          </w:p>
        </w:tc>
        <w:tc>
          <w:tcPr>
            <w:tcW w:w="851" w:type="dxa"/>
            <w:vAlign w:val="center"/>
          </w:tcPr>
          <w:p w14:paraId="2C4DF67E">
            <w:pPr>
              <w:widowControl w:val="0"/>
              <w:spacing w:line="320" w:lineRule="exact"/>
              <w:jc w:val="center"/>
              <w:rPr>
                <w:rFonts w:ascii="宋体" w:hAnsi="宋体" w:eastAsia="宋体"/>
                <w:sz w:val="24"/>
              </w:rPr>
            </w:pPr>
            <w:r>
              <w:rPr>
                <w:rFonts w:hint="eastAsia" w:ascii="宋体" w:hAnsi="宋体" w:eastAsia="宋体"/>
                <w:sz w:val="24"/>
              </w:rPr>
              <w:t>分值</w:t>
            </w:r>
          </w:p>
        </w:tc>
        <w:tc>
          <w:tcPr>
            <w:tcW w:w="7512" w:type="dxa"/>
            <w:vAlign w:val="center"/>
          </w:tcPr>
          <w:p w14:paraId="45F5F98B">
            <w:pPr>
              <w:widowControl w:val="0"/>
              <w:spacing w:line="320" w:lineRule="exact"/>
              <w:jc w:val="center"/>
              <w:rPr>
                <w:rFonts w:ascii="宋体" w:hAnsi="宋体" w:eastAsia="宋体"/>
                <w:sz w:val="24"/>
              </w:rPr>
            </w:pPr>
            <w:r>
              <w:rPr>
                <w:rFonts w:hint="eastAsia" w:ascii="宋体" w:hAnsi="宋体" w:eastAsia="宋体"/>
                <w:sz w:val="24"/>
              </w:rPr>
              <w:t>评分标准</w:t>
            </w:r>
          </w:p>
        </w:tc>
      </w:tr>
      <w:tr w14:paraId="198D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851" w:type="dxa"/>
            <w:vMerge w:val="restart"/>
            <w:vAlign w:val="center"/>
          </w:tcPr>
          <w:p w14:paraId="446188F1">
            <w:pPr>
              <w:widowControl w:val="0"/>
              <w:spacing w:line="320" w:lineRule="exact"/>
              <w:jc w:val="center"/>
              <w:rPr>
                <w:rFonts w:ascii="宋体" w:hAnsi="宋体" w:eastAsia="宋体"/>
                <w:sz w:val="24"/>
              </w:rPr>
            </w:pPr>
            <w:r>
              <w:rPr>
                <w:rFonts w:hint="eastAsia" w:ascii="宋体" w:hAnsi="宋体" w:eastAsia="宋体"/>
                <w:sz w:val="24"/>
              </w:rPr>
              <w:t>商务部分</w:t>
            </w:r>
          </w:p>
        </w:tc>
        <w:tc>
          <w:tcPr>
            <w:tcW w:w="992" w:type="dxa"/>
            <w:vAlign w:val="center"/>
          </w:tcPr>
          <w:p w14:paraId="6CCF4CE1">
            <w:pPr>
              <w:widowControl w:val="0"/>
              <w:spacing w:line="320" w:lineRule="exact"/>
              <w:jc w:val="center"/>
              <w:rPr>
                <w:rFonts w:ascii="宋体" w:hAnsi="宋体" w:eastAsia="宋体"/>
                <w:sz w:val="24"/>
              </w:rPr>
            </w:pPr>
            <w:r>
              <w:rPr>
                <w:rFonts w:hint="eastAsia" w:ascii="宋体" w:hAnsi="宋体" w:eastAsia="宋体"/>
                <w:sz w:val="24"/>
              </w:rPr>
              <w:t>采购需求响应程度</w:t>
            </w:r>
          </w:p>
        </w:tc>
        <w:tc>
          <w:tcPr>
            <w:tcW w:w="851" w:type="dxa"/>
            <w:vAlign w:val="center"/>
          </w:tcPr>
          <w:p w14:paraId="67C550F1">
            <w:pPr>
              <w:widowControl w:val="0"/>
              <w:spacing w:line="320" w:lineRule="exact"/>
              <w:jc w:val="center"/>
              <w:rPr>
                <w:rFonts w:ascii="宋体" w:hAnsi="宋体" w:eastAsia="宋体"/>
                <w:sz w:val="24"/>
              </w:rPr>
            </w:pPr>
            <w:r>
              <w:rPr>
                <w:rFonts w:hint="eastAsia" w:ascii="宋体" w:hAnsi="宋体" w:eastAsia="宋体"/>
                <w:sz w:val="24"/>
              </w:rPr>
              <w:t>5分</w:t>
            </w:r>
          </w:p>
        </w:tc>
        <w:tc>
          <w:tcPr>
            <w:tcW w:w="7512" w:type="dxa"/>
            <w:vAlign w:val="center"/>
          </w:tcPr>
          <w:p w14:paraId="1C224478">
            <w:pPr>
              <w:widowControl w:val="0"/>
              <w:spacing w:line="320" w:lineRule="exact"/>
              <w:rPr>
                <w:rFonts w:ascii="宋体" w:hAnsi="宋体" w:eastAsia="宋体"/>
                <w:sz w:val="24"/>
              </w:rPr>
            </w:pPr>
            <w:r>
              <w:rPr>
                <w:rFonts w:ascii="宋体" w:hAnsi="宋体" w:eastAsia="宋体"/>
                <w:sz w:val="24"/>
              </w:rPr>
              <w:t>1.完全满足并有优于本项目遴选需求要求的，得5分。</w:t>
            </w:r>
          </w:p>
          <w:p w14:paraId="23B4AAEB">
            <w:pPr>
              <w:widowControl w:val="0"/>
              <w:spacing w:line="320" w:lineRule="exact"/>
              <w:rPr>
                <w:rFonts w:ascii="宋体" w:hAnsi="宋体" w:eastAsia="宋体"/>
                <w:sz w:val="24"/>
              </w:rPr>
            </w:pPr>
            <w:r>
              <w:rPr>
                <w:rFonts w:ascii="宋体" w:hAnsi="宋体" w:eastAsia="宋体"/>
                <w:sz w:val="24"/>
              </w:rPr>
              <w:t>2.完全满足本项目遴选需求要求的，得3分。</w:t>
            </w:r>
          </w:p>
          <w:p w14:paraId="17BF1B79">
            <w:pPr>
              <w:widowControl w:val="0"/>
              <w:spacing w:line="320" w:lineRule="exact"/>
              <w:rPr>
                <w:rFonts w:ascii="宋体" w:hAnsi="宋体" w:eastAsia="宋体"/>
                <w:sz w:val="24"/>
              </w:rPr>
            </w:pPr>
            <w:r>
              <w:rPr>
                <w:rFonts w:ascii="宋体" w:hAnsi="宋体" w:eastAsia="宋体"/>
                <w:sz w:val="24"/>
              </w:rPr>
              <w:t>3.对本项目遴选需求有负偏离的，得1分。</w:t>
            </w:r>
          </w:p>
        </w:tc>
      </w:tr>
      <w:tr w14:paraId="1429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trPr>
        <w:tc>
          <w:tcPr>
            <w:tcW w:w="851" w:type="dxa"/>
            <w:vMerge w:val="continue"/>
            <w:vAlign w:val="center"/>
          </w:tcPr>
          <w:p w14:paraId="6C990916">
            <w:pPr>
              <w:widowControl w:val="0"/>
              <w:spacing w:line="320" w:lineRule="exact"/>
              <w:jc w:val="center"/>
              <w:rPr>
                <w:rFonts w:ascii="宋体" w:hAnsi="宋体" w:eastAsia="宋体"/>
                <w:sz w:val="24"/>
              </w:rPr>
            </w:pPr>
          </w:p>
        </w:tc>
        <w:tc>
          <w:tcPr>
            <w:tcW w:w="992" w:type="dxa"/>
            <w:vAlign w:val="center"/>
          </w:tcPr>
          <w:p w14:paraId="452A37D4">
            <w:pPr>
              <w:widowControl w:val="0"/>
              <w:spacing w:line="320" w:lineRule="exact"/>
              <w:jc w:val="center"/>
              <w:rPr>
                <w:rFonts w:ascii="宋体" w:hAnsi="宋体" w:eastAsia="宋体"/>
                <w:sz w:val="24"/>
              </w:rPr>
            </w:pPr>
            <w:r>
              <w:rPr>
                <w:rFonts w:hint="eastAsia" w:ascii="宋体" w:hAnsi="宋体" w:eastAsia="宋体"/>
                <w:sz w:val="24"/>
              </w:rPr>
              <w:t>同类业</w:t>
            </w:r>
          </w:p>
          <w:p w14:paraId="45FE76E5">
            <w:pPr>
              <w:widowControl w:val="0"/>
              <w:spacing w:line="320" w:lineRule="exact"/>
              <w:jc w:val="center"/>
              <w:rPr>
                <w:rFonts w:ascii="宋体" w:hAnsi="宋体" w:eastAsia="宋体"/>
                <w:sz w:val="24"/>
              </w:rPr>
            </w:pPr>
            <w:r>
              <w:rPr>
                <w:rFonts w:hint="eastAsia" w:ascii="宋体" w:hAnsi="宋体" w:eastAsia="宋体"/>
                <w:sz w:val="24"/>
              </w:rPr>
              <w:t>绩</w:t>
            </w:r>
          </w:p>
        </w:tc>
        <w:tc>
          <w:tcPr>
            <w:tcW w:w="851" w:type="dxa"/>
            <w:vAlign w:val="center"/>
          </w:tcPr>
          <w:p w14:paraId="4E240A3B">
            <w:pPr>
              <w:widowControl w:val="0"/>
              <w:spacing w:line="320" w:lineRule="exact"/>
              <w:jc w:val="center"/>
              <w:rPr>
                <w:rFonts w:ascii="宋体" w:hAnsi="宋体" w:eastAsia="宋体"/>
                <w:sz w:val="24"/>
              </w:rPr>
            </w:pPr>
            <w:r>
              <w:rPr>
                <w:rFonts w:hint="eastAsia" w:ascii="宋体" w:hAnsi="宋体" w:eastAsia="宋体"/>
                <w:sz w:val="24"/>
              </w:rPr>
              <w:t>1</w:t>
            </w:r>
            <w:r>
              <w:rPr>
                <w:rFonts w:ascii="宋体" w:hAnsi="宋体" w:eastAsia="宋体"/>
                <w:sz w:val="24"/>
              </w:rPr>
              <w:t>5</w:t>
            </w:r>
            <w:r>
              <w:rPr>
                <w:rFonts w:hint="eastAsia" w:ascii="宋体" w:hAnsi="宋体" w:eastAsia="宋体"/>
                <w:sz w:val="24"/>
              </w:rPr>
              <w:t>分</w:t>
            </w:r>
          </w:p>
        </w:tc>
        <w:tc>
          <w:tcPr>
            <w:tcW w:w="7512" w:type="dxa"/>
            <w:vAlign w:val="center"/>
          </w:tcPr>
          <w:p w14:paraId="3329C835">
            <w:pPr>
              <w:widowControl w:val="0"/>
              <w:spacing w:line="320" w:lineRule="exact"/>
              <w:rPr>
                <w:rFonts w:ascii="宋体" w:hAnsi="宋体" w:eastAsia="宋体"/>
                <w:sz w:val="24"/>
              </w:rPr>
            </w:pPr>
            <w:r>
              <w:rPr>
                <w:rFonts w:ascii="宋体" w:hAnsi="宋体" w:eastAsia="宋体"/>
                <w:sz w:val="24"/>
              </w:rPr>
              <w:t>1.近三年承担过高素质农民培育工作，且培训学员满意度均≥90%。得10分；未提供得0分。</w:t>
            </w:r>
          </w:p>
          <w:p w14:paraId="22CDB705">
            <w:pPr>
              <w:widowControl w:val="0"/>
              <w:spacing w:line="320" w:lineRule="exact"/>
              <w:rPr>
                <w:rFonts w:ascii="宋体" w:hAnsi="宋体" w:eastAsia="宋体"/>
                <w:sz w:val="24"/>
              </w:rPr>
            </w:pPr>
            <w:r>
              <w:rPr>
                <w:rFonts w:ascii="宋体" w:hAnsi="宋体" w:eastAsia="宋体"/>
                <w:sz w:val="24"/>
              </w:rPr>
              <w:t>2.列入2025、2026 年广东省高素质农民培育基地入库名单，得5分；未提供得0分。</w:t>
            </w:r>
          </w:p>
          <w:p w14:paraId="57A94782">
            <w:pPr>
              <w:widowControl w:val="0"/>
              <w:spacing w:line="320" w:lineRule="exact"/>
              <w:rPr>
                <w:rFonts w:ascii="宋体" w:hAnsi="宋体" w:eastAsia="宋体"/>
                <w:sz w:val="24"/>
              </w:rPr>
            </w:pPr>
            <w:r>
              <w:rPr>
                <w:rFonts w:hint="eastAsia" w:ascii="宋体" w:hAnsi="宋体" w:eastAsia="宋体"/>
                <w:sz w:val="24"/>
              </w:rPr>
              <w:t>注：提供合同复印件作为证明材料，不提供不得分。</w:t>
            </w:r>
          </w:p>
        </w:tc>
      </w:tr>
      <w:tr w14:paraId="5EA9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6" w:hRule="atLeast"/>
        </w:trPr>
        <w:tc>
          <w:tcPr>
            <w:tcW w:w="851" w:type="dxa"/>
            <w:vMerge w:val="continue"/>
            <w:vAlign w:val="center"/>
          </w:tcPr>
          <w:p w14:paraId="0A4CAC01">
            <w:pPr>
              <w:widowControl w:val="0"/>
              <w:spacing w:line="320" w:lineRule="exact"/>
              <w:jc w:val="center"/>
              <w:rPr>
                <w:rFonts w:ascii="宋体" w:hAnsi="宋体" w:eastAsia="宋体"/>
                <w:sz w:val="24"/>
              </w:rPr>
            </w:pPr>
          </w:p>
        </w:tc>
        <w:tc>
          <w:tcPr>
            <w:tcW w:w="992" w:type="dxa"/>
            <w:vAlign w:val="center"/>
          </w:tcPr>
          <w:p w14:paraId="65167B79">
            <w:pPr>
              <w:widowControl w:val="0"/>
              <w:spacing w:line="320" w:lineRule="exact"/>
              <w:jc w:val="center"/>
              <w:rPr>
                <w:rFonts w:ascii="宋体" w:hAnsi="宋体" w:eastAsia="宋体"/>
                <w:sz w:val="24"/>
              </w:rPr>
            </w:pPr>
            <w:r>
              <w:rPr>
                <w:rFonts w:hint="eastAsia" w:ascii="宋体" w:hAnsi="宋体" w:eastAsia="宋体"/>
                <w:sz w:val="24"/>
              </w:rPr>
              <w:t>培育设</w:t>
            </w:r>
          </w:p>
          <w:p w14:paraId="3A6F5C22">
            <w:pPr>
              <w:widowControl w:val="0"/>
              <w:spacing w:line="320" w:lineRule="exact"/>
              <w:jc w:val="center"/>
              <w:rPr>
                <w:rFonts w:ascii="宋体" w:hAnsi="宋体" w:eastAsia="宋体"/>
                <w:sz w:val="24"/>
              </w:rPr>
            </w:pPr>
            <w:r>
              <w:rPr>
                <w:rFonts w:hint="eastAsia" w:ascii="宋体" w:hAnsi="宋体" w:eastAsia="宋体"/>
                <w:sz w:val="24"/>
              </w:rPr>
              <w:t>施</w:t>
            </w:r>
          </w:p>
        </w:tc>
        <w:tc>
          <w:tcPr>
            <w:tcW w:w="851" w:type="dxa"/>
            <w:vAlign w:val="center"/>
          </w:tcPr>
          <w:p w14:paraId="5D2E5FEA">
            <w:pPr>
              <w:widowControl w:val="0"/>
              <w:spacing w:line="320" w:lineRule="exact"/>
              <w:jc w:val="center"/>
              <w:rPr>
                <w:rFonts w:ascii="宋体" w:hAnsi="宋体" w:eastAsia="宋体"/>
                <w:sz w:val="24"/>
              </w:rPr>
            </w:pPr>
            <w:r>
              <w:rPr>
                <w:rFonts w:hint="eastAsia" w:ascii="宋体" w:hAnsi="宋体" w:eastAsia="宋体"/>
                <w:sz w:val="24"/>
              </w:rPr>
              <w:t>2</w:t>
            </w:r>
            <w:r>
              <w:rPr>
                <w:rFonts w:ascii="宋体" w:hAnsi="宋体" w:eastAsia="宋体"/>
                <w:sz w:val="24"/>
              </w:rPr>
              <w:t>0</w:t>
            </w:r>
            <w:r>
              <w:rPr>
                <w:rFonts w:hint="eastAsia" w:ascii="宋体" w:hAnsi="宋体" w:eastAsia="宋体"/>
                <w:sz w:val="24"/>
              </w:rPr>
              <w:t>分</w:t>
            </w:r>
          </w:p>
        </w:tc>
        <w:tc>
          <w:tcPr>
            <w:tcW w:w="7512" w:type="dxa"/>
            <w:vAlign w:val="center"/>
          </w:tcPr>
          <w:p w14:paraId="1B3DEF08">
            <w:pPr>
              <w:widowControl w:val="0"/>
              <w:spacing w:line="320" w:lineRule="exact"/>
              <w:rPr>
                <w:rFonts w:ascii="宋体" w:hAnsi="宋体" w:eastAsia="宋体"/>
                <w:sz w:val="24"/>
              </w:rPr>
            </w:pPr>
            <w:r>
              <w:rPr>
                <w:rFonts w:ascii="宋体" w:hAnsi="宋体" w:eastAsia="宋体"/>
                <w:sz w:val="24"/>
              </w:rPr>
              <w:t>1.有集中教学场所及配套设施设备(自有的提供相关权属证明、合作的提供场地租用合作协议，以及场所照片、设备清单等资料），得5分；未提供得0分。</w:t>
            </w:r>
          </w:p>
          <w:p w14:paraId="3207C299">
            <w:pPr>
              <w:widowControl w:val="0"/>
              <w:spacing w:line="320" w:lineRule="exact"/>
              <w:rPr>
                <w:rFonts w:ascii="宋体" w:hAnsi="宋体" w:eastAsia="宋体"/>
                <w:sz w:val="24"/>
              </w:rPr>
            </w:pPr>
            <w:r>
              <w:rPr>
                <w:rFonts w:ascii="宋体" w:hAnsi="宋体" w:eastAsia="宋体"/>
                <w:sz w:val="24"/>
              </w:rPr>
              <w:t>2.有实习实训场所或合作实训基地(自有的提供相关权属证明、合作的提供场地租用合作协议，以及场所照片、设备清单等资料），得5分；未提供得0分。</w:t>
            </w:r>
          </w:p>
          <w:p w14:paraId="69D6F63C">
            <w:pPr>
              <w:widowControl w:val="0"/>
              <w:spacing w:line="320" w:lineRule="exact"/>
              <w:rPr>
                <w:rFonts w:ascii="宋体" w:hAnsi="宋体" w:eastAsia="宋体"/>
                <w:sz w:val="24"/>
              </w:rPr>
            </w:pPr>
            <w:r>
              <w:rPr>
                <w:rFonts w:ascii="宋体" w:hAnsi="宋体" w:eastAsia="宋体"/>
                <w:sz w:val="24"/>
              </w:rPr>
              <w:t>3.有专职教学管理人员和专兼职教师队伍（教师队伍需录入农民教育培训信息管理系统师资库，并提供人员名单，以及和教师签订的合作协议等），得5分；未提供得0分。</w:t>
            </w:r>
          </w:p>
          <w:p w14:paraId="57226C7F">
            <w:pPr>
              <w:widowControl w:val="0"/>
              <w:spacing w:line="320" w:lineRule="exact"/>
              <w:rPr>
                <w:rFonts w:ascii="宋体" w:hAnsi="宋体" w:eastAsia="宋体"/>
                <w:sz w:val="24"/>
              </w:rPr>
            </w:pPr>
            <w:r>
              <w:rPr>
                <w:rFonts w:ascii="宋体" w:hAnsi="宋体" w:eastAsia="宋体"/>
                <w:sz w:val="24"/>
              </w:rPr>
              <w:t>4.有培训内容所要求的其他软硬件条件（提供照片等佐证材料），得5分；未提供得0分。</w:t>
            </w:r>
          </w:p>
        </w:tc>
      </w:tr>
      <w:tr w14:paraId="7DB7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851" w:type="dxa"/>
            <w:vMerge w:val="restart"/>
            <w:vAlign w:val="center"/>
          </w:tcPr>
          <w:p w14:paraId="1BE98F39">
            <w:pPr>
              <w:widowControl w:val="0"/>
              <w:spacing w:line="320" w:lineRule="exact"/>
              <w:jc w:val="center"/>
              <w:rPr>
                <w:rFonts w:ascii="宋体" w:hAnsi="宋体" w:eastAsia="宋体"/>
                <w:sz w:val="24"/>
              </w:rPr>
            </w:pPr>
            <w:r>
              <w:rPr>
                <w:rFonts w:hint="eastAsia" w:ascii="宋体" w:hAnsi="宋体" w:eastAsia="宋体"/>
                <w:sz w:val="24"/>
              </w:rPr>
              <w:t>技术部分</w:t>
            </w:r>
          </w:p>
        </w:tc>
        <w:tc>
          <w:tcPr>
            <w:tcW w:w="992" w:type="dxa"/>
            <w:vAlign w:val="center"/>
          </w:tcPr>
          <w:p w14:paraId="54BE74D5">
            <w:pPr>
              <w:widowControl w:val="0"/>
              <w:spacing w:line="320" w:lineRule="exact"/>
              <w:jc w:val="center"/>
              <w:rPr>
                <w:rFonts w:ascii="宋体" w:hAnsi="宋体" w:eastAsia="宋体"/>
                <w:sz w:val="24"/>
              </w:rPr>
            </w:pPr>
            <w:r>
              <w:rPr>
                <w:rFonts w:hint="eastAsia" w:ascii="宋体" w:hAnsi="宋体" w:eastAsia="宋体"/>
                <w:sz w:val="24"/>
              </w:rPr>
              <w:t>课时安</w:t>
            </w:r>
          </w:p>
          <w:p w14:paraId="6A284530">
            <w:pPr>
              <w:widowControl w:val="0"/>
              <w:spacing w:line="320" w:lineRule="exact"/>
              <w:jc w:val="center"/>
              <w:rPr>
                <w:rFonts w:ascii="宋体" w:hAnsi="宋体" w:eastAsia="宋体"/>
                <w:sz w:val="24"/>
              </w:rPr>
            </w:pPr>
            <w:r>
              <w:rPr>
                <w:rFonts w:hint="eastAsia" w:ascii="宋体" w:hAnsi="宋体" w:eastAsia="宋体"/>
                <w:sz w:val="24"/>
              </w:rPr>
              <w:t>排</w:t>
            </w:r>
          </w:p>
        </w:tc>
        <w:tc>
          <w:tcPr>
            <w:tcW w:w="851" w:type="dxa"/>
            <w:vAlign w:val="center"/>
          </w:tcPr>
          <w:p w14:paraId="25F32738">
            <w:pPr>
              <w:widowControl w:val="0"/>
              <w:spacing w:line="320" w:lineRule="exact"/>
              <w:jc w:val="center"/>
              <w:rPr>
                <w:rFonts w:ascii="宋体" w:hAnsi="宋体" w:eastAsia="宋体"/>
                <w:sz w:val="24"/>
              </w:rPr>
            </w:pPr>
            <w:r>
              <w:rPr>
                <w:rFonts w:hint="eastAsia" w:ascii="宋体" w:hAnsi="宋体" w:eastAsia="宋体"/>
                <w:sz w:val="24"/>
              </w:rPr>
              <w:t>1</w:t>
            </w:r>
            <w:r>
              <w:rPr>
                <w:rFonts w:ascii="宋体" w:hAnsi="宋体" w:eastAsia="宋体"/>
                <w:sz w:val="24"/>
              </w:rPr>
              <w:t>0</w:t>
            </w:r>
            <w:r>
              <w:rPr>
                <w:rFonts w:hint="eastAsia" w:ascii="宋体" w:hAnsi="宋体" w:eastAsia="宋体"/>
                <w:sz w:val="24"/>
              </w:rPr>
              <w:t>分</w:t>
            </w:r>
          </w:p>
        </w:tc>
        <w:tc>
          <w:tcPr>
            <w:tcW w:w="7512" w:type="dxa"/>
            <w:vAlign w:val="center"/>
          </w:tcPr>
          <w:p w14:paraId="4934DE9F">
            <w:pPr>
              <w:widowControl w:val="0"/>
              <w:spacing w:line="320" w:lineRule="exact"/>
              <w:rPr>
                <w:rFonts w:ascii="宋体" w:hAnsi="宋体" w:eastAsia="宋体"/>
                <w:sz w:val="24"/>
              </w:rPr>
            </w:pPr>
            <w:r>
              <w:rPr>
                <w:rFonts w:ascii="宋体" w:hAnsi="宋体" w:eastAsia="宋体"/>
                <w:sz w:val="24"/>
              </w:rPr>
              <w:t>1.培育时间不少于</w:t>
            </w:r>
            <w:r>
              <w:rPr>
                <w:rFonts w:hint="eastAsia" w:ascii="宋体" w:hAnsi="宋体" w:eastAsia="宋体"/>
                <w:sz w:val="24"/>
                <w:lang w:val="en-US" w:eastAsia="zh-CN"/>
              </w:rPr>
              <w:t>56</w:t>
            </w:r>
            <w:r>
              <w:rPr>
                <w:rFonts w:ascii="宋体" w:hAnsi="宋体" w:eastAsia="宋体"/>
                <w:sz w:val="24"/>
              </w:rPr>
              <w:t>学时（不少于</w:t>
            </w:r>
            <w:r>
              <w:rPr>
                <w:rFonts w:hint="eastAsia" w:ascii="宋体" w:hAnsi="宋体" w:eastAsia="宋体"/>
                <w:sz w:val="24"/>
                <w:lang w:val="en-US" w:eastAsia="zh-CN"/>
              </w:rPr>
              <w:t>7</w:t>
            </w:r>
            <w:r>
              <w:rPr>
                <w:rFonts w:ascii="宋体" w:hAnsi="宋体" w:eastAsia="宋体"/>
                <w:sz w:val="24"/>
              </w:rPr>
              <w:t>天）；符合得3分，不符合得0分。</w:t>
            </w:r>
          </w:p>
          <w:p w14:paraId="0C4D618A">
            <w:pPr>
              <w:widowControl w:val="0"/>
              <w:spacing w:line="320" w:lineRule="exact"/>
              <w:rPr>
                <w:rFonts w:ascii="宋体" w:hAnsi="宋体" w:eastAsia="宋体"/>
                <w:sz w:val="24"/>
              </w:rPr>
            </w:pPr>
            <w:r>
              <w:rPr>
                <w:rFonts w:ascii="宋体" w:hAnsi="宋体" w:eastAsia="宋体"/>
                <w:sz w:val="24"/>
              </w:rPr>
              <w:t>2.综合素养课包括思想政治、政策法规、职业素养和文化素养，包括“开班第一课”，学时数不低于总学时数</w:t>
            </w:r>
            <w:bookmarkStart w:id="0" w:name="_GoBack"/>
            <w:bookmarkEnd w:id="0"/>
            <w:r>
              <w:rPr>
                <w:rFonts w:ascii="宋体" w:hAnsi="宋体" w:eastAsia="宋体"/>
                <w:sz w:val="24"/>
              </w:rPr>
              <w:t>的10%；符合得3分，不符合得0分。</w:t>
            </w:r>
          </w:p>
          <w:p w14:paraId="1A16608F">
            <w:pPr>
              <w:widowControl w:val="0"/>
              <w:spacing w:line="320" w:lineRule="exact"/>
              <w:rPr>
                <w:rFonts w:ascii="宋体" w:hAnsi="宋体" w:eastAsia="宋体"/>
                <w:sz w:val="24"/>
              </w:rPr>
            </w:pPr>
            <w:r>
              <w:rPr>
                <w:rFonts w:ascii="宋体" w:hAnsi="宋体" w:eastAsia="宋体"/>
                <w:sz w:val="24"/>
              </w:rPr>
              <w:t>3.专业技能课符合专题班实际需求，紧紧围绕培育主题开设。学时数不低于总学时数的70%，其中，采取实践教学的比例不低于专业技能课学时数的50%；符合得2分，不符合得0分。</w:t>
            </w:r>
          </w:p>
          <w:p w14:paraId="7C344E94">
            <w:pPr>
              <w:widowControl w:val="0"/>
              <w:spacing w:line="320" w:lineRule="exact"/>
              <w:rPr>
                <w:rFonts w:ascii="宋体" w:hAnsi="宋体" w:eastAsia="宋体"/>
                <w:sz w:val="24"/>
              </w:rPr>
            </w:pPr>
            <w:r>
              <w:rPr>
                <w:rFonts w:ascii="宋体" w:hAnsi="宋体" w:eastAsia="宋体"/>
                <w:sz w:val="24"/>
              </w:rPr>
              <w:t>4.能力拓展课由培育机构根据培育对象实际需求，紧紧围绕培育主题开设，学时数不高于总学时数的20%；符合得2分，不符合得0分。</w:t>
            </w:r>
          </w:p>
        </w:tc>
      </w:tr>
      <w:tr w14:paraId="57F9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3" w:hRule="atLeast"/>
        </w:trPr>
        <w:tc>
          <w:tcPr>
            <w:tcW w:w="851" w:type="dxa"/>
            <w:vMerge w:val="continue"/>
            <w:vAlign w:val="center"/>
          </w:tcPr>
          <w:p w14:paraId="060EFEAB">
            <w:pPr>
              <w:widowControl w:val="0"/>
              <w:spacing w:line="320" w:lineRule="exact"/>
              <w:jc w:val="center"/>
              <w:rPr>
                <w:rFonts w:ascii="宋体" w:hAnsi="宋体" w:eastAsia="宋体"/>
                <w:sz w:val="24"/>
              </w:rPr>
            </w:pPr>
          </w:p>
        </w:tc>
        <w:tc>
          <w:tcPr>
            <w:tcW w:w="992" w:type="dxa"/>
            <w:vAlign w:val="center"/>
          </w:tcPr>
          <w:p w14:paraId="3FC43C86">
            <w:pPr>
              <w:widowControl w:val="0"/>
              <w:spacing w:line="320" w:lineRule="exact"/>
              <w:jc w:val="center"/>
              <w:rPr>
                <w:rFonts w:ascii="宋体" w:hAnsi="宋体" w:eastAsia="宋体"/>
                <w:sz w:val="24"/>
              </w:rPr>
            </w:pPr>
            <w:r>
              <w:rPr>
                <w:rFonts w:hint="eastAsia" w:ascii="宋体" w:hAnsi="宋体" w:eastAsia="宋体"/>
                <w:sz w:val="24"/>
              </w:rPr>
              <w:t>授课安</w:t>
            </w:r>
          </w:p>
          <w:p w14:paraId="084CA97C">
            <w:pPr>
              <w:widowControl w:val="0"/>
              <w:spacing w:line="320" w:lineRule="exact"/>
              <w:jc w:val="center"/>
              <w:rPr>
                <w:rFonts w:ascii="宋体" w:hAnsi="宋体" w:eastAsia="宋体"/>
                <w:sz w:val="24"/>
              </w:rPr>
            </w:pPr>
            <w:r>
              <w:rPr>
                <w:rFonts w:hint="eastAsia" w:ascii="宋体" w:hAnsi="宋体" w:eastAsia="宋体"/>
                <w:sz w:val="24"/>
              </w:rPr>
              <w:t>排</w:t>
            </w:r>
          </w:p>
        </w:tc>
        <w:tc>
          <w:tcPr>
            <w:tcW w:w="851" w:type="dxa"/>
            <w:vAlign w:val="center"/>
          </w:tcPr>
          <w:p w14:paraId="000EB8D7">
            <w:pPr>
              <w:widowControl w:val="0"/>
              <w:spacing w:line="320" w:lineRule="exact"/>
              <w:jc w:val="center"/>
              <w:rPr>
                <w:rFonts w:ascii="宋体" w:hAnsi="宋体" w:eastAsia="宋体"/>
                <w:sz w:val="24"/>
              </w:rPr>
            </w:pPr>
            <w:r>
              <w:rPr>
                <w:rFonts w:hint="eastAsia" w:ascii="宋体" w:hAnsi="宋体" w:eastAsia="宋体"/>
                <w:sz w:val="24"/>
              </w:rPr>
              <w:t>1</w:t>
            </w:r>
            <w:r>
              <w:rPr>
                <w:rFonts w:ascii="宋体" w:hAnsi="宋体" w:eastAsia="宋体"/>
                <w:sz w:val="24"/>
              </w:rPr>
              <w:t>0</w:t>
            </w:r>
            <w:r>
              <w:rPr>
                <w:rFonts w:hint="eastAsia" w:ascii="宋体" w:hAnsi="宋体" w:eastAsia="宋体"/>
                <w:sz w:val="24"/>
              </w:rPr>
              <w:t>分</w:t>
            </w:r>
          </w:p>
        </w:tc>
        <w:tc>
          <w:tcPr>
            <w:tcW w:w="7512" w:type="dxa"/>
            <w:vAlign w:val="center"/>
          </w:tcPr>
          <w:p w14:paraId="43D3DECF">
            <w:pPr>
              <w:widowControl w:val="0"/>
              <w:spacing w:line="320" w:lineRule="exact"/>
              <w:rPr>
                <w:rFonts w:ascii="宋体" w:hAnsi="宋体" w:eastAsia="宋体"/>
                <w:sz w:val="24"/>
              </w:rPr>
            </w:pPr>
            <w:r>
              <w:rPr>
                <w:rFonts w:ascii="宋体" w:hAnsi="宋体" w:eastAsia="宋体"/>
                <w:sz w:val="24"/>
              </w:rPr>
              <w:t>1.授课符合课程主题需求，授课方式易于农民接受，教案内容通俗实用，符合得2分，不符合得0分。</w:t>
            </w:r>
          </w:p>
          <w:p w14:paraId="04B80E77">
            <w:pPr>
              <w:widowControl w:val="0"/>
              <w:spacing w:line="320" w:lineRule="exact"/>
              <w:rPr>
                <w:rFonts w:ascii="宋体" w:hAnsi="宋体" w:eastAsia="宋体"/>
                <w:sz w:val="24"/>
              </w:rPr>
            </w:pPr>
            <w:r>
              <w:rPr>
                <w:rFonts w:ascii="宋体" w:hAnsi="宋体" w:eastAsia="宋体"/>
                <w:sz w:val="24"/>
              </w:rPr>
              <w:t>2.有相关专业授课背景的院校教师，具备相应技术理论和实践能力的院校教师授课的，得2分，不符合得0分。</w:t>
            </w:r>
          </w:p>
          <w:p w14:paraId="1C61E4C1">
            <w:pPr>
              <w:widowControl w:val="0"/>
              <w:spacing w:line="320" w:lineRule="exact"/>
              <w:rPr>
                <w:rFonts w:ascii="宋体" w:hAnsi="宋体" w:eastAsia="宋体"/>
                <w:sz w:val="24"/>
              </w:rPr>
            </w:pPr>
            <w:r>
              <w:rPr>
                <w:rFonts w:ascii="宋体" w:hAnsi="宋体" w:eastAsia="宋体"/>
                <w:sz w:val="24"/>
              </w:rPr>
              <w:t>3.科研推广机构专家、各类农业主体专业技术人员或“广东农村乡土专家”等讲授实践课程的，得2分，不符合得0分。</w:t>
            </w:r>
          </w:p>
          <w:p w14:paraId="372903AC">
            <w:pPr>
              <w:widowControl w:val="0"/>
              <w:spacing w:line="320" w:lineRule="exact"/>
              <w:rPr>
                <w:rFonts w:ascii="宋体" w:hAnsi="宋体" w:eastAsia="宋体"/>
                <w:sz w:val="24"/>
              </w:rPr>
            </w:pPr>
            <w:r>
              <w:rPr>
                <w:rFonts w:ascii="宋体" w:hAnsi="宋体" w:eastAsia="宋体"/>
                <w:sz w:val="24"/>
              </w:rPr>
              <w:t>4.优先选用农业农村部、教育部规划教材和各级农业农村部门推荐教材,得2分，不符合得0分。</w:t>
            </w:r>
          </w:p>
          <w:p w14:paraId="4FD5CBD3">
            <w:pPr>
              <w:widowControl w:val="0"/>
              <w:spacing w:line="320" w:lineRule="exact"/>
              <w:rPr>
                <w:rFonts w:ascii="宋体" w:hAnsi="宋体" w:eastAsia="宋体"/>
                <w:sz w:val="24"/>
              </w:rPr>
            </w:pPr>
            <w:r>
              <w:rPr>
                <w:rFonts w:ascii="宋体" w:hAnsi="宋体" w:eastAsia="宋体"/>
                <w:sz w:val="24"/>
              </w:rPr>
              <w:t>5.培育教材规范、先进、实用，文字教材和视频教材配合使用，符合得 2 分，不符合得0分。</w:t>
            </w:r>
          </w:p>
        </w:tc>
      </w:tr>
      <w:tr w14:paraId="4020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6" w:hRule="atLeast"/>
        </w:trPr>
        <w:tc>
          <w:tcPr>
            <w:tcW w:w="851" w:type="dxa"/>
            <w:vMerge w:val="continue"/>
            <w:vAlign w:val="center"/>
          </w:tcPr>
          <w:p w14:paraId="4B4F2E19">
            <w:pPr>
              <w:widowControl w:val="0"/>
              <w:spacing w:line="320" w:lineRule="exact"/>
              <w:jc w:val="center"/>
              <w:rPr>
                <w:rFonts w:ascii="宋体" w:hAnsi="宋体" w:eastAsia="宋体"/>
                <w:sz w:val="24"/>
              </w:rPr>
            </w:pPr>
          </w:p>
        </w:tc>
        <w:tc>
          <w:tcPr>
            <w:tcW w:w="992" w:type="dxa"/>
            <w:vAlign w:val="center"/>
          </w:tcPr>
          <w:p w14:paraId="3521CBDC">
            <w:pPr>
              <w:widowControl w:val="0"/>
              <w:spacing w:line="320" w:lineRule="exact"/>
              <w:jc w:val="center"/>
              <w:rPr>
                <w:rFonts w:ascii="宋体" w:hAnsi="宋体" w:eastAsia="宋体"/>
                <w:sz w:val="24"/>
              </w:rPr>
            </w:pPr>
            <w:r>
              <w:rPr>
                <w:rFonts w:hint="eastAsia" w:ascii="宋体" w:hAnsi="宋体" w:eastAsia="宋体"/>
                <w:sz w:val="24"/>
              </w:rPr>
              <w:t>课程设</w:t>
            </w:r>
          </w:p>
          <w:p w14:paraId="37A84781">
            <w:pPr>
              <w:widowControl w:val="0"/>
              <w:spacing w:line="320" w:lineRule="exact"/>
              <w:jc w:val="center"/>
              <w:rPr>
                <w:rFonts w:ascii="宋体" w:hAnsi="宋体" w:eastAsia="宋体"/>
                <w:sz w:val="24"/>
              </w:rPr>
            </w:pPr>
            <w:r>
              <w:rPr>
                <w:rFonts w:hint="eastAsia" w:ascii="宋体" w:hAnsi="宋体" w:eastAsia="宋体"/>
                <w:sz w:val="24"/>
              </w:rPr>
              <w:t>置</w:t>
            </w:r>
          </w:p>
        </w:tc>
        <w:tc>
          <w:tcPr>
            <w:tcW w:w="851" w:type="dxa"/>
            <w:vAlign w:val="center"/>
          </w:tcPr>
          <w:p w14:paraId="4DCBF235">
            <w:pPr>
              <w:widowControl w:val="0"/>
              <w:spacing w:line="320" w:lineRule="exact"/>
              <w:jc w:val="center"/>
              <w:rPr>
                <w:rFonts w:ascii="宋体" w:hAnsi="宋体" w:eastAsia="宋体"/>
                <w:sz w:val="24"/>
              </w:rPr>
            </w:pPr>
            <w:r>
              <w:rPr>
                <w:rFonts w:hint="eastAsia" w:ascii="宋体" w:hAnsi="宋体" w:eastAsia="宋体"/>
                <w:sz w:val="24"/>
              </w:rPr>
              <w:t>1</w:t>
            </w:r>
            <w:r>
              <w:rPr>
                <w:rFonts w:ascii="宋体" w:hAnsi="宋体" w:eastAsia="宋体"/>
                <w:sz w:val="24"/>
              </w:rPr>
              <w:t>5</w:t>
            </w:r>
            <w:r>
              <w:rPr>
                <w:rFonts w:hint="eastAsia" w:ascii="宋体" w:hAnsi="宋体" w:eastAsia="宋体"/>
                <w:sz w:val="24"/>
              </w:rPr>
              <w:t>分</w:t>
            </w:r>
          </w:p>
        </w:tc>
        <w:tc>
          <w:tcPr>
            <w:tcW w:w="7512" w:type="dxa"/>
            <w:vAlign w:val="center"/>
          </w:tcPr>
          <w:p w14:paraId="7D5E68A2">
            <w:pPr>
              <w:widowControl w:val="0"/>
              <w:spacing w:line="320" w:lineRule="exact"/>
              <w:rPr>
                <w:rFonts w:ascii="宋体" w:hAnsi="宋体" w:eastAsia="宋体"/>
                <w:sz w:val="24"/>
              </w:rPr>
            </w:pPr>
            <w:r>
              <w:rPr>
                <w:rFonts w:ascii="宋体" w:hAnsi="宋体" w:eastAsia="宋体"/>
                <w:sz w:val="24"/>
              </w:rPr>
              <w:t>1.课堂教学设置有：线上与线下集中授课、实践教学、观摩交流、案例教学、参与式教学、互动式教学等形式。得5分，不符合得0分。</w:t>
            </w:r>
          </w:p>
          <w:p w14:paraId="29E10CF5">
            <w:pPr>
              <w:widowControl w:val="0"/>
              <w:spacing w:line="320" w:lineRule="exact"/>
              <w:rPr>
                <w:rFonts w:ascii="宋体" w:hAnsi="宋体" w:eastAsia="宋体"/>
                <w:sz w:val="24"/>
              </w:rPr>
            </w:pPr>
            <w:r>
              <w:rPr>
                <w:rFonts w:ascii="宋体" w:hAnsi="宋体" w:eastAsia="宋体"/>
                <w:sz w:val="24"/>
              </w:rPr>
              <w:t>2.实践教学在与课程内容直接相关的实习实训场所开展，包括场地实训、顶岗实习、跟岗见习、模拟教学、实践孵化等形式。符合得5分，不符合得0分。</w:t>
            </w:r>
          </w:p>
          <w:p w14:paraId="1DCD1B17">
            <w:pPr>
              <w:widowControl w:val="0"/>
              <w:spacing w:line="320" w:lineRule="exact"/>
              <w:rPr>
                <w:rFonts w:ascii="宋体" w:hAnsi="宋体" w:eastAsia="宋体"/>
                <w:sz w:val="24"/>
              </w:rPr>
            </w:pPr>
            <w:r>
              <w:rPr>
                <w:rFonts w:ascii="宋体" w:hAnsi="宋体" w:eastAsia="宋体"/>
                <w:sz w:val="24"/>
              </w:rPr>
              <w:t>3.线上学习可采取网络直播或课件学习的方式，线上学习学时数不超过总学时数的15%。符合得3分，不符合得0分。</w:t>
            </w:r>
          </w:p>
          <w:p w14:paraId="2417CCFF">
            <w:pPr>
              <w:widowControl w:val="0"/>
              <w:spacing w:line="320" w:lineRule="exact"/>
              <w:rPr>
                <w:rFonts w:ascii="宋体" w:hAnsi="宋体" w:eastAsia="宋体"/>
                <w:sz w:val="24"/>
              </w:rPr>
            </w:pPr>
            <w:r>
              <w:rPr>
                <w:rFonts w:ascii="宋体" w:hAnsi="宋体" w:eastAsia="宋体"/>
                <w:sz w:val="24"/>
              </w:rPr>
              <w:t>4.交流观摩应选取与培育主题相符的地点或主体开展，符合得2分，不符合得0分。</w:t>
            </w:r>
          </w:p>
        </w:tc>
      </w:tr>
      <w:tr w14:paraId="7C8B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8" w:hRule="atLeast"/>
        </w:trPr>
        <w:tc>
          <w:tcPr>
            <w:tcW w:w="851" w:type="dxa"/>
            <w:vMerge w:val="continue"/>
            <w:vAlign w:val="center"/>
          </w:tcPr>
          <w:p w14:paraId="671C291B">
            <w:pPr>
              <w:widowControl w:val="0"/>
              <w:spacing w:line="320" w:lineRule="exact"/>
              <w:jc w:val="center"/>
              <w:rPr>
                <w:rFonts w:ascii="宋体" w:hAnsi="宋体" w:eastAsia="宋体"/>
                <w:sz w:val="24"/>
              </w:rPr>
            </w:pPr>
          </w:p>
        </w:tc>
        <w:tc>
          <w:tcPr>
            <w:tcW w:w="992" w:type="dxa"/>
            <w:vAlign w:val="center"/>
          </w:tcPr>
          <w:p w14:paraId="5562154C">
            <w:pPr>
              <w:widowControl w:val="0"/>
              <w:spacing w:line="320" w:lineRule="exact"/>
              <w:jc w:val="center"/>
              <w:rPr>
                <w:rFonts w:ascii="宋体" w:hAnsi="宋体" w:eastAsia="宋体"/>
                <w:sz w:val="24"/>
              </w:rPr>
            </w:pPr>
            <w:r>
              <w:rPr>
                <w:rFonts w:hint="eastAsia" w:ascii="宋体" w:hAnsi="宋体" w:eastAsia="宋体"/>
                <w:sz w:val="24"/>
              </w:rPr>
              <w:t>综合管</w:t>
            </w:r>
          </w:p>
          <w:p w14:paraId="3E61D1C4">
            <w:pPr>
              <w:widowControl w:val="0"/>
              <w:spacing w:line="320" w:lineRule="exact"/>
              <w:jc w:val="center"/>
              <w:rPr>
                <w:rFonts w:ascii="宋体" w:hAnsi="宋体" w:eastAsia="宋体"/>
                <w:sz w:val="24"/>
              </w:rPr>
            </w:pPr>
            <w:r>
              <w:rPr>
                <w:rFonts w:hint="eastAsia" w:ascii="宋体" w:hAnsi="宋体" w:eastAsia="宋体"/>
                <w:sz w:val="24"/>
              </w:rPr>
              <w:t>理</w:t>
            </w:r>
          </w:p>
        </w:tc>
        <w:tc>
          <w:tcPr>
            <w:tcW w:w="851" w:type="dxa"/>
            <w:vAlign w:val="center"/>
          </w:tcPr>
          <w:p w14:paraId="49B927B1">
            <w:pPr>
              <w:widowControl w:val="0"/>
              <w:spacing w:line="320" w:lineRule="exact"/>
              <w:jc w:val="center"/>
              <w:rPr>
                <w:rFonts w:ascii="宋体" w:hAnsi="宋体" w:eastAsia="宋体"/>
                <w:sz w:val="24"/>
              </w:rPr>
            </w:pPr>
            <w:r>
              <w:rPr>
                <w:rFonts w:hint="eastAsia" w:ascii="宋体" w:hAnsi="宋体" w:eastAsia="宋体"/>
                <w:sz w:val="24"/>
              </w:rPr>
              <w:t>1</w:t>
            </w:r>
            <w:r>
              <w:rPr>
                <w:rFonts w:ascii="宋体" w:hAnsi="宋体" w:eastAsia="宋体"/>
                <w:sz w:val="24"/>
              </w:rPr>
              <w:t>0</w:t>
            </w:r>
            <w:r>
              <w:rPr>
                <w:rFonts w:hint="eastAsia" w:ascii="宋体" w:hAnsi="宋体" w:eastAsia="宋体"/>
                <w:sz w:val="24"/>
              </w:rPr>
              <w:t>分</w:t>
            </w:r>
          </w:p>
        </w:tc>
        <w:tc>
          <w:tcPr>
            <w:tcW w:w="7512" w:type="dxa"/>
            <w:vAlign w:val="center"/>
          </w:tcPr>
          <w:p w14:paraId="6EB6190E">
            <w:pPr>
              <w:widowControl w:val="0"/>
              <w:spacing w:line="320" w:lineRule="exact"/>
              <w:rPr>
                <w:rFonts w:ascii="宋体" w:hAnsi="宋体" w:eastAsia="宋体"/>
                <w:sz w:val="24"/>
              </w:rPr>
            </w:pPr>
            <w:r>
              <w:rPr>
                <w:rFonts w:ascii="宋体" w:hAnsi="宋体" w:eastAsia="宋体"/>
                <w:sz w:val="24"/>
              </w:rPr>
              <w:t>1.有培训班管理制度，得2分，未提供得0分。</w:t>
            </w:r>
          </w:p>
          <w:p w14:paraId="2F8DD7AA">
            <w:pPr>
              <w:widowControl w:val="0"/>
              <w:spacing w:line="320" w:lineRule="exact"/>
              <w:rPr>
                <w:rFonts w:ascii="宋体" w:hAnsi="宋体" w:eastAsia="宋体"/>
                <w:sz w:val="24"/>
              </w:rPr>
            </w:pPr>
            <w:r>
              <w:rPr>
                <w:rFonts w:ascii="宋体" w:hAnsi="宋体" w:eastAsia="宋体"/>
                <w:sz w:val="24"/>
              </w:rPr>
              <w:t>2.有健全财务部门和财务管理制度，得2分，未提供得0分。</w:t>
            </w:r>
          </w:p>
          <w:p w14:paraId="1FF64FB2">
            <w:pPr>
              <w:widowControl w:val="0"/>
              <w:spacing w:line="320" w:lineRule="exact"/>
              <w:rPr>
                <w:rFonts w:ascii="宋体" w:hAnsi="宋体" w:eastAsia="宋体"/>
                <w:sz w:val="24"/>
              </w:rPr>
            </w:pPr>
            <w:r>
              <w:rPr>
                <w:rFonts w:ascii="宋体" w:hAnsi="宋体" w:eastAsia="宋体"/>
                <w:sz w:val="24"/>
              </w:rPr>
              <w:t>3.根据课程考核和考勤情况，综合评价学员学习成果，对完成学习任务的培育对象颁发结业证书。得2分，未提供得0分。</w:t>
            </w:r>
          </w:p>
          <w:p w14:paraId="3479452E">
            <w:pPr>
              <w:widowControl w:val="0"/>
              <w:spacing w:line="320" w:lineRule="exact"/>
              <w:rPr>
                <w:rFonts w:ascii="宋体" w:hAnsi="宋体" w:eastAsia="宋体"/>
                <w:sz w:val="24"/>
              </w:rPr>
            </w:pPr>
            <w:r>
              <w:rPr>
                <w:rFonts w:ascii="宋体" w:hAnsi="宋体" w:eastAsia="宋体"/>
                <w:sz w:val="24"/>
              </w:rPr>
              <w:t>4.建立信息档案管理，配备有专职的信息管理员负责信息管理平台的使用和管理，得2分，未提供得0分。</w:t>
            </w:r>
          </w:p>
          <w:p w14:paraId="5F3482D2">
            <w:pPr>
              <w:widowControl w:val="0"/>
              <w:spacing w:line="320" w:lineRule="exact"/>
              <w:rPr>
                <w:rFonts w:ascii="宋体" w:hAnsi="宋体" w:eastAsia="宋体"/>
                <w:sz w:val="24"/>
              </w:rPr>
            </w:pPr>
            <w:r>
              <w:rPr>
                <w:rFonts w:ascii="宋体" w:hAnsi="宋体" w:eastAsia="宋体"/>
                <w:sz w:val="24"/>
              </w:rPr>
              <w:t>5.建立培育档案，包括开班计划、培育对象信息、课程及考核结果记录、资金支出票据及复印件、结业证书发放情况和其他必要培育信息。培育档案至少保存5年。得2分，未提供得0分。</w:t>
            </w:r>
          </w:p>
        </w:tc>
      </w:tr>
      <w:tr w14:paraId="4D19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851" w:type="dxa"/>
            <w:vMerge w:val="continue"/>
            <w:vAlign w:val="center"/>
          </w:tcPr>
          <w:p w14:paraId="608D1CB1">
            <w:pPr>
              <w:widowControl w:val="0"/>
              <w:spacing w:line="320" w:lineRule="exact"/>
              <w:jc w:val="center"/>
              <w:rPr>
                <w:rFonts w:ascii="宋体" w:hAnsi="宋体" w:eastAsia="宋体"/>
                <w:sz w:val="24"/>
              </w:rPr>
            </w:pPr>
          </w:p>
        </w:tc>
        <w:tc>
          <w:tcPr>
            <w:tcW w:w="992" w:type="dxa"/>
            <w:vAlign w:val="center"/>
          </w:tcPr>
          <w:p w14:paraId="56FD051E">
            <w:pPr>
              <w:widowControl w:val="0"/>
              <w:spacing w:line="320" w:lineRule="exact"/>
              <w:jc w:val="center"/>
              <w:rPr>
                <w:rFonts w:ascii="宋体" w:hAnsi="宋体" w:eastAsia="宋体"/>
                <w:sz w:val="24"/>
              </w:rPr>
            </w:pPr>
            <w:r>
              <w:rPr>
                <w:rFonts w:hint="eastAsia" w:ascii="宋体" w:hAnsi="宋体" w:eastAsia="宋体"/>
                <w:sz w:val="24"/>
              </w:rPr>
              <w:t>跟踪管</w:t>
            </w:r>
          </w:p>
          <w:p w14:paraId="20928FE3">
            <w:pPr>
              <w:widowControl w:val="0"/>
              <w:spacing w:line="320" w:lineRule="exact"/>
              <w:jc w:val="center"/>
              <w:rPr>
                <w:rFonts w:ascii="宋体" w:hAnsi="宋体" w:eastAsia="宋体"/>
                <w:sz w:val="24"/>
              </w:rPr>
            </w:pPr>
            <w:r>
              <w:rPr>
                <w:rFonts w:hint="eastAsia" w:ascii="宋体" w:hAnsi="宋体" w:eastAsia="宋体"/>
                <w:sz w:val="24"/>
              </w:rPr>
              <w:t>理</w:t>
            </w:r>
          </w:p>
        </w:tc>
        <w:tc>
          <w:tcPr>
            <w:tcW w:w="851" w:type="dxa"/>
            <w:vAlign w:val="center"/>
          </w:tcPr>
          <w:p w14:paraId="31A6CC49">
            <w:pPr>
              <w:widowControl w:val="0"/>
              <w:spacing w:line="320" w:lineRule="exact"/>
              <w:jc w:val="center"/>
              <w:rPr>
                <w:rFonts w:ascii="宋体" w:hAnsi="宋体" w:eastAsia="宋体"/>
                <w:sz w:val="24"/>
              </w:rPr>
            </w:pPr>
            <w:r>
              <w:rPr>
                <w:rFonts w:hint="eastAsia" w:ascii="宋体" w:hAnsi="宋体" w:eastAsia="宋体"/>
                <w:sz w:val="24"/>
              </w:rPr>
              <w:t>1</w:t>
            </w:r>
            <w:r>
              <w:rPr>
                <w:rFonts w:ascii="宋体" w:hAnsi="宋体" w:eastAsia="宋体"/>
                <w:sz w:val="24"/>
              </w:rPr>
              <w:t>5</w:t>
            </w:r>
            <w:r>
              <w:rPr>
                <w:rFonts w:hint="eastAsia" w:ascii="宋体" w:hAnsi="宋体" w:eastAsia="宋体"/>
                <w:sz w:val="24"/>
              </w:rPr>
              <w:t>分</w:t>
            </w:r>
          </w:p>
        </w:tc>
        <w:tc>
          <w:tcPr>
            <w:tcW w:w="7512" w:type="dxa"/>
            <w:vAlign w:val="center"/>
          </w:tcPr>
          <w:p w14:paraId="1F39CB90">
            <w:pPr>
              <w:widowControl w:val="0"/>
              <w:spacing w:line="320" w:lineRule="exact"/>
              <w:rPr>
                <w:rFonts w:ascii="宋体" w:hAnsi="宋体" w:eastAsia="宋体"/>
                <w:sz w:val="24"/>
              </w:rPr>
            </w:pPr>
            <w:r>
              <w:rPr>
                <w:rFonts w:ascii="宋体" w:hAnsi="宋体" w:eastAsia="宋体"/>
                <w:sz w:val="24"/>
              </w:rPr>
              <w:t>1.有培训后的后续跟踪服务措施或方案，得5分，未提供得0分。</w:t>
            </w:r>
          </w:p>
          <w:p w14:paraId="07430C30">
            <w:pPr>
              <w:widowControl w:val="0"/>
              <w:spacing w:line="320" w:lineRule="exact"/>
              <w:rPr>
                <w:rFonts w:ascii="宋体" w:hAnsi="宋体" w:eastAsia="宋体"/>
                <w:sz w:val="24"/>
              </w:rPr>
            </w:pPr>
            <w:r>
              <w:rPr>
                <w:rFonts w:ascii="宋体" w:hAnsi="宋体" w:eastAsia="宋体"/>
                <w:sz w:val="24"/>
              </w:rPr>
              <w:t>2.跟踪服务时长为：一年内次数不少于2次。得5</w:t>
            </w:r>
            <w:r>
              <w:rPr>
                <w:rFonts w:hint="eastAsia" w:ascii="宋体" w:hAnsi="宋体" w:eastAsia="宋体"/>
                <w:sz w:val="24"/>
              </w:rPr>
              <w:t>分</w:t>
            </w:r>
            <w:r>
              <w:rPr>
                <w:rFonts w:ascii="宋体" w:hAnsi="宋体" w:eastAsia="宋体"/>
                <w:sz w:val="24"/>
              </w:rPr>
              <w:t>，未提供得0分。</w:t>
            </w:r>
          </w:p>
          <w:p w14:paraId="66F7D7AC">
            <w:pPr>
              <w:widowControl w:val="0"/>
              <w:spacing w:line="320" w:lineRule="exact"/>
              <w:rPr>
                <w:rFonts w:ascii="宋体" w:hAnsi="宋体" w:eastAsia="宋体"/>
                <w:sz w:val="24"/>
              </w:rPr>
            </w:pPr>
            <w:r>
              <w:rPr>
                <w:rFonts w:ascii="宋体" w:hAnsi="宋体" w:eastAsia="宋体"/>
                <w:sz w:val="24"/>
              </w:rPr>
              <w:t>3.跟踪服务人数不少于培育班总人数的30%（≥30人），得5分，未提供得0分。</w:t>
            </w:r>
          </w:p>
        </w:tc>
      </w:tr>
    </w:tbl>
    <w:p w14:paraId="6DFA36C8">
      <w:pPr>
        <w:widowControl w:val="0"/>
        <w:spacing w:line="20" w:lineRule="exact"/>
      </w:pPr>
    </w:p>
    <w:sectPr>
      <w:pgSz w:w="11906" w:h="16838"/>
      <w:pgMar w:top="1701" w:right="1474" w:bottom="1474" w:left="1474"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楷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DD4"/>
    <w:rsid w:val="00083A35"/>
    <w:rsid w:val="000F2E44"/>
    <w:rsid w:val="0011207D"/>
    <w:rsid w:val="00114CBC"/>
    <w:rsid w:val="001559FA"/>
    <w:rsid w:val="00242187"/>
    <w:rsid w:val="00355F6B"/>
    <w:rsid w:val="003D3FD4"/>
    <w:rsid w:val="003F43BA"/>
    <w:rsid w:val="004707C7"/>
    <w:rsid w:val="004B7D19"/>
    <w:rsid w:val="006A0E92"/>
    <w:rsid w:val="00795AEE"/>
    <w:rsid w:val="007B63E8"/>
    <w:rsid w:val="008D34AE"/>
    <w:rsid w:val="008F0CD1"/>
    <w:rsid w:val="0097215F"/>
    <w:rsid w:val="009B4DFC"/>
    <w:rsid w:val="00A57890"/>
    <w:rsid w:val="00A643CA"/>
    <w:rsid w:val="00A70AB4"/>
    <w:rsid w:val="00AF2DD4"/>
    <w:rsid w:val="00B80432"/>
    <w:rsid w:val="00BA4542"/>
    <w:rsid w:val="00BD3E17"/>
    <w:rsid w:val="00C933D1"/>
    <w:rsid w:val="00CE70D8"/>
    <w:rsid w:val="00DA73F0"/>
    <w:rsid w:val="00DE443B"/>
    <w:rsid w:val="00E37435"/>
    <w:rsid w:val="00E45A53"/>
    <w:rsid w:val="00E8237E"/>
    <w:rsid w:val="00EB6E53"/>
    <w:rsid w:val="00EC57CB"/>
    <w:rsid w:val="00FE5FB4"/>
    <w:rsid w:val="23FE5B3A"/>
    <w:rsid w:val="2736464D"/>
    <w:rsid w:val="2E5F582F"/>
    <w:rsid w:val="5B767133"/>
    <w:rsid w:val="5FFE0B8F"/>
    <w:rsid w:val="7E824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方正仿宋_GBK" w:hAnsiTheme="minorHAnsi" w:eastAsia="方正仿宋_GBK"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600" w:lineRule="exact"/>
      <w:jc w:val="both"/>
    </w:pPr>
    <w:rPr>
      <w:rFonts w:ascii="方正仿宋_GBK" w:eastAsia="方正仿宋_GBK" w:hAnsiTheme="minorHAnsi" w:cstheme="minorBidi"/>
      <w:kern w:val="2"/>
      <w:sz w:val="32"/>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
    <w:semiHidden/>
    <w:unhideWhenUsed/>
    <w:qFormat/>
    <w:uiPriority w:val="99"/>
    <w:pPr>
      <w:spacing w:after="120"/>
    </w:pPr>
  </w:style>
  <w:style w:type="paragraph" w:styleId="3">
    <w:name w:val="footer"/>
    <w:basedOn w:val="1"/>
    <w:link w:val="10"/>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table" w:styleId="6">
    <w:name w:val="Table Grid"/>
    <w:basedOn w:val="5"/>
    <w:qFormat/>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正文文本 字符"/>
    <w:basedOn w:val="7"/>
    <w:link w:val="2"/>
    <w:semiHidden/>
    <w:qFormat/>
    <w:uiPriority w:val="99"/>
    <w:rPr>
      <w:rFonts w:asciiTheme="minorHAnsi" w:hAnsiTheme="minorHAnsi"/>
      <w:szCs w:val="24"/>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2236</Words>
  <Characters>2310</Characters>
  <Lines>17</Lines>
  <Paragraphs>4</Paragraphs>
  <TotalTime>41</TotalTime>
  <ScaleCrop>false</ScaleCrop>
  <LinksUpToDate>false</LinksUpToDate>
  <CharactersWithSpaces>2313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2026-09-11T08:38:00Z</dcterms:created>
  <dc:creator>李健溥</dc:creator>
  <cp:lastModifiedBy>XCM</cp:lastModifiedBy>
  <dcterms:modified xsi:type="dcterms:W3CDTF">2026-10-08T07:45:57Z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eyJoZGlkIjoiZGE4ZWNiYTlmNTU1ZmVjMTAwNmZlMWFjMTg2OWYyNGIiLCJ1c2VySWQiOiIzMTUzMTUzODUifQ==</vt:lpwstr>
  </property>
  <property fmtid="{D5CDD505-2E9C-101B-9397-08002B2CF9AE}" pid="3" name="KSOProductBuildVer">
    <vt:lpwstr>2052-12.1.0.28505</vt:lpwstr>
  </property>
  <property fmtid="{D5CDD505-2E9C-101B-9397-08002B2CF9AE}" pid="4" name="ICV">
    <vt:lpwstr>C49211F1C68E4AFBA0C08440AC8D06D9_12</vt:lpwstr>
  </property>
</Properties>
</file>