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04CF1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附件２</w:t>
      </w:r>
    </w:p>
    <w:p w14:paraId="2AA647B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color w:val="auto"/>
          <w:sz w:val="32"/>
          <w:szCs w:val="32"/>
          <w:lang w:eastAsia="zh-CN"/>
        </w:rPr>
      </w:pPr>
    </w:p>
    <w:p w14:paraId="59A059A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kern w:val="2"/>
          <w:sz w:val="40"/>
          <w:szCs w:val="40"/>
          <w:lang w:val="en-US" w:eastAsia="zh-CN" w:bidi="ar-SA"/>
        </w:rPr>
      </w:pPr>
      <w:r>
        <w:rPr>
          <w:rFonts w:hint="eastAsia" w:ascii="方正小标宋简体" w:hAnsi="方正小标宋简体" w:eastAsia="方正小标宋简体" w:cs="方正小标宋简体"/>
          <w:b w:val="0"/>
          <w:bCs w:val="0"/>
          <w:color w:val="auto"/>
          <w:sz w:val="40"/>
          <w:szCs w:val="40"/>
          <w:lang w:eastAsia="zh-CN"/>
        </w:rPr>
        <w:t>项目</w:t>
      </w:r>
      <w:r>
        <w:rPr>
          <w:rFonts w:hint="eastAsia" w:ascii="方正小标宋简体" w:hAnsi="方正小标宋简体" w:eastAsia="方正小标宋简体" w:cs="方正小标宋简体"/>
          <w:b w:val="0"/>
          <w:bCs w:val="0"/>
          <w:color w:val="auto"/>
          <w:kern w:val="2"/>
          <w:sz w:val="40"/>
          <w:szCs w:val="40"/>
          <w:lang w:val="en-US" w:eastAsia="zh-CN" w:bidi="ar-SA"/>
        </w:rPr>
        <w:t>评审方案</w:t>
      </w:r>
    </w:p>
    <w:p w14:paraId="364D079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auto"/>
          <w:sz w:val="32"/>
          <w:szCs w:val="32"/>
          <w:lang w:val="en-US" w:eastAsia="zh-CN"/>
        </w:rPr>
      </w:pPr>
    </w:p>
    <w:p w14:paraId="37D31C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方正黑体_GBK" w:hAnsi="方正黑体_GBK" w:eastAsia="方正黑体_GBK" w:cs="方正黑体_GBK"/>
          <w:b w:val="0"/>
          <w:bCs w:val="0"/>
          <w:color w:val="auto"/>
          <w:sz w:val="32"/>
          <w:szCs w:val="32"/>
          <w:lang w:eastAsia="zh-CN"/>
        </w:rPr>
      </w:pPr>
      <w:r>
        <w:rPr>
          <w:rFonts w:hint="eastAsia" w:ascii="方正黑体_GBK" w:hAnsi="方正黑体_GBK" w:eastAsia="方正黑体_GBK" w:cs="方正黑体_GBK"/>
          <w:b w:val="0"/>
          <w:bCs w:val="0"/>
          <w:color w:val="auto"/>
          <w:sz w:val="32"/>
          <w:szCs w:val="32"/>
          <w:lang w:eastAsia="zh-CN"/>
        </w:rPr>
        <w:t>一、评审小组</w:t>
      </w:r>
    </w:p>
    <w:p w14:paraId="6853A77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由我局协调抽取评审专家，与采购代表组成评审小组（人员不少于3名且为单数），根据本文件约定的评审方法和评审标准对所有通过资格性审查的响应文件进行独立评审。</w:t>
      </w:r>
    </w:p>
    <w:p w14:paraId="63E563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方正黑体_GBK" w:hAnsi="方正黑体_GBK" w:eastAsia="方正黑体_GBK" w:cs="方正黑体_GBK"/>
          <w:b w:val="0"/>
          <w:bCs w:val="0"/>
          <w:color w:val="auto"/>
          <w:sz w:val="32"/>
          <w:szCs w:val="32"/>
          <w:lang w:eastAsia="zh-CN"/>
        </w:rPr>
      </w:pPr>
      <w:r>
        <w:rPr>
          <w:rFonts w:hint="eastAsia" w:ascii="方正黑体_GBK" w:hAnsi="方正黑体_GBK" w:eastAsia="方正黑体_GBK" w:cs="方正黑体_GBK"/>
          <w:b w:val="0"/>
          <w:bCs w:val="0"/>
          <w:color w:val="auto"/>
          <w:sz w:val="32"/>
          <w:szCs w:val="32"/>
          <w:lang w:eastAsia="zh-CN"/>
        </w:rPr>
        <w:t>二、评审方法</w:t>
      </w:r>
    </w:p>
    <w:p w14:paraId="446EDDDA">
      <w:pPr>
        <w:pStyle w:val="3"/>
        <w:keepNext w:val="0"/>
        <w:keepLines w:val="0"/>
        <w:pageBreakBefore w:val="0"/>
        <w:widowControl w:val="0"/>
        <w:tabs>
          <w:tab w:val="left" w:pos="1080"/>
        </w:tabs>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（一）发布公告邀请不特定符合资格条件的供应商不少于三家提交响应文件（内含首次报价），召开现场评审会进行公开唱标，供应商现场给予第二次报价，第二次报价不得高于响应文件中的首次报价。</w:t>
      </w:r>
    </w:p>
    <w:p w14:paraId="6E600154">
      <w:pPr>
        <w:pStyle w:val="3"/>
        <w:keepNext w:val="0"/>
        <w:keepLines w:val="0"/>
        <w:pageBreakBefore w:val="0"/>
        <w:widowControl w:val="0"/>
        <w:tabs>
          <w:tab w:val="left" w:pos="1080"/>
        </w:tabs>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sz w:val="32"/>
          <w:szCs w:val="32"/>
          <w:lang w:eastAsia="zh-CN"/>
        </w:rPr>
        <w:t>（二）</w:t>
      </w:r>
      <w:r>
        <w:rPr>
          <w:rFonts w:hint="eastAsia" w:ascii="方正仿宋_GBK" w:hAnsi="方正仿宋_GBK" w:eastAsia="方正仿宋_GBK" w:cs="方正仿宋_GBK"/>
          <w:color w:val="auto"/>
          <w:sz w:val="32"/>
          <w:szCs w:val="32"/>
        </w:rPr>
        <w:t>采用</w:t>
      </w:r>
      <w:r>
        <w:rPr>
          <w:rFonts w:hint="eastAsia" w:ascii="方正仿宋_GBK" w:hAnsi="方正仿宋_GBK" w:eastAsia="方正仿宋_GBK" w:cs="方正仿宋_GBK"/>
          <w:color w:val="auto"/>
          <w:sz w:val="32"/>
          <w:szCs w:val="32"/>
          <w:highlight w:val="none"/>
        </w:rPr>
        <w:t>综合评分法</w:t>
      </w:r>
      <w:r>
        <w:rPr>
          <w:rFonts w:hint="eastAsia" w:ascii="方正仿宋_GBK" w:hAnsi="方正仿宋_GBK" w:eastAsia="方正仿宋_GBK" w:cs="方正仿宋_GBK"/>
          <w:color w:val="auto"/>
          <w:sz w:val="32"/>
          <w:szCs w:val="32"/>
        </w:rPr>
        <w:t>，对通过</w:t>
      </w:r>
      <w:r>
        <w:rPr>
          <w:rFonts w:hint="eastAsia" w:ascii="方正仿宋_GBK" w:hAnsi="方正仿宋_GBK" w:eastAsia="方正仿宋_GBK" w:cs="方正仿宋_GBK"/>
          <w:color w:val="auto"/>
          <w:sz w:val="32"/>
          <w:szCs w:val="32"/>
          <w:lang w:eastAsia="zh-CN"/>
        </w:rPr>
        <w:t>资格审核</w:t>
      </w:r>
      <w:r>
        <w:rPr>
          <w:rFonts w:hint="eastAsia" w:ascii="方正仿宋_GBK" w:hAnsi="方正仿宋_GBK" w:eastAsia="方正仿宋_GBK" w:cs="方正仿宋_GBK"/>
          <w:color w:val="auto"/>
          <w:sz w:val="32"/>
          <w:szCs w:val="32"/>
        </w:rPr>
        <w:t>的</w:t>
      </w:r>
      <w:r>
        <w:rPr>
          <w:rFonts w:hint="eastAsia" w:ascii="方正仿宋_GBK" w:hAnsi="方正仿宋_GBK" w:eastAsia="方正仿宋_GBK" w:cs="方正仿宋_GBK"/>
          <w:color w:val="auto"/>
          <w:sz w:val="32"/>
          <w:szCs w:val="32"/>
          <w:lang w:eastAsia="zh-CN"/>
        </w:rPr>
        <w:t>供应商</w:t>
      </w:r>
      <w:r>
        <w:rPr>
          <w:rFonts w:hint="eastAsia" w:ascii="方正仿宋_GBK" w:hAnsi="方正仿宋_GBK" w:eastAsia="方正仿宋_GBK" w:cs="方正仿宋_GBK"/>
          <w:color w:val="auto"/>
          <w:sz w:val="32"/>
          <w:szCs w:val="32"/>
        </w:rPr>
        <w:t>的项目</w:t>
      </w:r>
      <w:r>
        <w:rPr>
          <w:rFonts w:hint="eastAsia" w:ascii="方正仿宋_GBK" w:hAnsi="方正仿宋_GBK" w:eastAsia="方正仿宋_GBK" w:cs="方正仿宋_GBK"/>
          <w:color w:val="auto"/>
          <w:sz w:val="32"/>
          <w:szCs w:val="32"/>
          <w:lang w:eastAsia="zh-CN"/>
        </w:rPr>
        <w:t>书</w:t>
      </w:r>
      <w:r>
        <w:rPr>
          <w:rFonts w:hint="eastAsia" w:ascii="方正仿宋_GBK" w:hAnsi="方正仿宋_GBK" w:eastAsia="方正仿宋_GBK" w:cs="方正仿宋_GBK"/>
          <w:color w:val="auto"/>
          <w:sz w:val="32"/>
          <w:szCs w:val="32"/>
        </w:rPr>
        <w:t>响应情况</w:t>
      </w:r>
      <w:r>
        <w:rPr>
          <w:rFonts w:hint="eastAsia" w:ascii="方正仿宋_GBK" w:hAnsi="方正仿宋_GBK" w:eastAsia="方正仿宋_GBK" w:cs="方正仿宋_GBK"/>
          <w:color w:val="auto"/>
          <w:kern w:val="0"/>
          <w:sz w:val="32"/>
          <w:szCs w:val="32"/>
          <w:lang w:val="en-US" w:eastAsia="zh-CN"/>
        </w:rPr>
        <w:t>和现场最终报价进行评审、比较，并量化打分，最后根据各项得分之和（其中：技术评价60分、商务评价30分、价格评估10分）计算出通过资格审核的</w:t>
      </w:r>
      <w:r>
        <w:rPr>
          <w:rFonts w:hint="eastAsia" w:ascii="方正仿宋_GBK" w:hAnsi="方正仿宋_GBK" w:eastAsia="方正仿宋_GBK" w:cs="方正仿宋_GBK"/>
          <w:color w:val="auto"/>
          <w:kern w:val="0"/>
          <w:sz w:val="32"/>
          <w:szCs w:val="32"/>
          <w:lang w:eastAsia="zh-CN"/>
        </w:rPr>
        <w:t>供应商</w:t>
      </w:r>
      <w:r>
        <w:rPr>
          <w:rFonts w:hint="eastAsia" w:ascii="方正仿宋_GBK" w:hAnsi="方正仿宋_GBK" w:eastAsia="方正仿宋_GBK" w:cs="方正仿宋_GBK"/>
          <w:color w:val="auto"/>
          <w:kern w:val="0"/>
          <w:sz w:val="32"/>
          <w:szCs w:val="32"/>
          <w:lang w:val="en-US" w:eastAsia="zh-CN"/>
        </w:rPr>
        <w:t>的综合得分（平均得分）。</w:t>
      </w:r>
    </w:p>
    <w:p w14:paraId="50FE5C2B">
      <w:pPr>
        <w:pStyle w:val="3"/>
        <w:keepNext w:val="0"/>
        <w:keepLines w:val="0"/>
        <w:pageBreakBefore w:val="0"/>
        <w:widowControl w:val="0"/>
        <w:tabs>
          <w:tab w:val="left" w:pos="1080"/>
        </w:tabs>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（三）评审小组按综合得分由高到低排序（得分相同的，按响应金额由低到高排序），推荐排名第一的为成交候选人。</w:t>
      </w:r>
    </w:p>
    <w:p w14:paraId="59217B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方正黑体_GBK" w:hAnsi="方正黑体_GBK" w:eastAsia="方正黑体_GBK" w:cs="方正黑体_GBK"/>
          <w:b w:val="0"/>
          <w:bCs w:val="0"/>
          <w:color w:val="auto"/>
          <w:sz w:val="32"/>
          <w:szCs w:val="32"/>
          <w:lang w:eastAsia="zh-CN"/>
        </w:rPr>
      </w:pPr>
      <w:r>
        <w:rPr>
          <w:rFonts w:hint="eastAsia" w:ascii="方正黑体_GBK" w:hAnsi="方正黑体_GBK" w:eastAsia="方正黑体_GBK" w:cs="方正黑体_GBK"/>
          <w:b w:val="0"/>
          <w:bCs w:val="0"/>
          <w:color w:val="auto"/>
          <w:sz w:val="32"/>
          <w:szCs w:val="32"/>
          <w:lang w:eastAsia="zh-CN"/>
        </w:rPr>
        <w:t>三、项目限价</w:t>
      </w:r>
    </w:p>
    <w:p w14:paraId="5D2BCA16">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shd w:val="clear" w:color="auto" w:fill="FFFFFF"/>
          <w:lang w:val="en-US" w:eastAsia="zh-CN" w:bidi="ar"/>
        </w:rPr>
      </w:pPr>
      <w:r>
        <w:rPr>
          <w:rFonts w:hint="eastAsia" w:ascii="方正仿宋_GBK" w:hAnsi="方正仿宋_GBK" w:eastAsia="方正仿宋_GBK" w:cs="方正仿宋_GBK"/>
          <w:color w:val="auto"/>
          <w:kern w:val="0"/>
          <w:sz w:val="32"/>
          <w:szCs w:val="32"/>
          <w:shd w:val="clear" w:color="auto" w:fill="FFFFFF"/>
          <w:lang w:val="en-US" w:eastAsia="zh-CN" w:bidi="ar"/>
        </w:rPr>
        <w:t>最高限价为</w:t>
      </w:r>
      <w:r>
        <w:rPr>
          <w:rFonts w:hint="eastAsia" w:ascii="方正仿宋_GBK" w:hAnsi="方正仿宋_GBK" w:eastAsia="方正仿宋_GBK" w:cs="方正仿宋_GBK"/>
          <w:color w:val="auto"/>
          <w:sz w:val="32"/>
          <w:szCs w:val="32"/>
          <w:highlight w:val="none"/>
          <w:lang w:val="en-US" w:eastAsia="zh-CN"/>
        </w:rPr>
        <w:t>42.4176</w:t>
      </w:r>
      <w:r>
        <w:rPr>
          <w:rFonts w:hint="eastAsia" w:ascii="方正仿宋_GBK" w:hAnsi="方正仿宋_GBK" w:eastAsia="方正仿宋_GBK" w:cs="方正仿宋_GBK"/>
          <w:color w:val="auto"/>
          <w:kern w:val="0"/>
          <w:sz w:val="32"/>
          <w:szCs w:val="32"/>
          <w:shd w:val="clear" w:color="auto" w:fill="FFFFFF"/>
          <w:lang w:val="en-US" w:eastAsia="zh-CN" w:bidi="ar"/>
        </w:rPr>
        <w:t>万元。</w:t>
      </w:r>
    </w:p>
    <w:p w14:paraId="150E2F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方正黑体_GBK" w:hAnsi="方正黑体_GBK" w:eastAsia="方正黑体_GBK" w:cs="方正黑体_GBK"/>
          <w:b w:val="0"/>
          <w:bCs w:val="0"/>
          <w:color w:val="000000"/>
          <w:sz w:val="32"/>
          <w:szCs w:val="32"/>
          <w:lang w:eastAsia="zh-CN"/>
        </w:rPr>
      </w:pPr>
      <w:r>
        <w:rPr>
          <w:rFonts w:hint="eastAsia" w:ascii="方正黑体_GBK" w:hAnsi="方正黑体_GBK" w:eastAsia="方正黑体_GBK" w:cs="方正黑体_GBK"/>
          <w:b w:val="0"/>
          <w:bCs w:val="0"/>
          <w:color w:val="000000"/>
          <w:sz w:val="32"/>
          <w:szCs w:val="32"/>
          <w:lang w:eastAsia="zh-CN"/>
        </w:rPr>
        <w:t>四、评审流程</w:t>
      </w:r>
    </w:p>
    <w:p w14:paraId="597DA8FB">
      <w:pPr>
        <w:pStyle w:val="3"/>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评审小组对</w:t>
      </w:r>
      <w:r>
        <w:rPr>
          <w:rFonts w:hint="eastAsia" w:ascii="方正仿宋_GBK" w:hAnsi="方正仿宋_GBK" w:eastAsia="方正仿宋_GBK" w:cs="方正仿宋_GBK"/>
          <w:color w:val="000000"/>
          <w:sz w:val="32"/>
          <w:szCs w:val="32"/>
          <w:lang w:eastAsia="zh-CN"/>
        </w:rPr>
        <w:t>响应文件</w:t>
      </w:r>
      <w:r>
        <w:rPr>
          <w:rFonts w:hint="eastAsia" w:ascii="方正仿宋_GBK" w:hAnsi="方正仿宋_GBK" w:eastAsia="方正仿宋_GBK" w:cs="方正仿宋_GBK"/>
          <w:color w:val="000000"/>
          <w:sz w:val="32"/>
          <w:szCs w:val="32"/>
        </w:rPr>
        <w:t>的评审分为初审、比较与评价：</w:t>
      </w:r>
    </w:p>
    <w:p w14:paraId="194CD01E">
      <w:pPr>
        <w:pStyle w:val="3"/>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方正楷体_GBK" w:hAnsi="方正楷体_GBK" w:eastAsia="方正楷体_GBK" w:cs="方正楷体_GBK"/>
          <w:b w:val="0"/>
          <w:bCs w:val="0"/>
          <w:color w:val="000000"/>
          <w:sz w:val="32"/>
          <w:szCs w:val="32"/>
        </w:rPr>
      </w:pPr>
      <w:r>
        <w:rPr>
          <w:rFonts w:hint="eastAsia" w:ascii="方正楷体_GBK" w:hAnsi="方正楷体_GBK" w:eastAsia="方正楷体_GBK" w:cs="方正楷体_GBK"/>
          <w:b w:val="0"/>
          <w:bCs w:val="0"/>
          <w:color w:val="000000"/>
          <w:sz w:val="32"/>
          <w:szCs w:val="32"/>
        </w:rPr>
        <w:t>（一）初审</w:t>
      </w:r>
    </w:p>
    <w:p w14:paraId="76F70C6E">
      <w:pPr>
        <w:pStyle w:val="3"/>
        <w:keepNext w:val="0"/>
        <w:keepLines w:val="0"/>
        <w:pageBreakBefore w:val="0"/>
        <w:widowControl w:val="0"/>
        <w:kinsoku/>
        <w:wordWrap/>
        <w:overflowPunct/>
        <w:topLinePunct w:val="0"/>
        <w:autoSpaceDE/>
        <w:autoSpaceDN/>
        <w:bidi w:val="0"/>
        <w:adjustRightInd w:val="0"/>
        <w:snapToGrid w:val="0"/>
        <w:spacing w:line="560" w:lineRule="exact"/>
        <w:ind w:firstLine="560"/>
        <w:jc w:val="both"/>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资格性检查，审查内容详见资格性审查表</w:t>
      </w:r>
      <w:r>
        <w:rPr>
          <w:rFonts w:hint="eastAsia" w:ascii="方正仿宋_GBK" w:hAnsi="方正仿宋_GBK" w:eastAsia="方正仿宋_GBK" w:cs="方正仿宋_GBK"/>
          <w:color w:val="000000"/>
          <w:sz w:val="32"/>
          <w:szCs w:val="32"/>
          <w:lang w:eastAsia="zh-CN"/>
        </w:rPr>
        <w:t>（表</w:t>
      </w:r>
      <w:r>
        <w:rPr>
          <w:rFonts w:hint="eastAsia" w:ascii="方正仿宋_GBK" w:hAnsi="方正仿宋_GBK" w:eastAsia="方正仿宋_GBK" w:cs="方正仿宋_GBK"/>
          <w:color w:val="000000"/>
          <w:sz w:val="32"/>
          <w:szCs w:val="32"/>
          <w:lang w:val="en-US" w:eastAsia="zh-CN"/>
        </w:rPr>
        <w:t>1</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。只有通过初审才能进入评审环节。</w:t>
      </w:r>
    </w:p>
    <w:p w14:paraId="47C46BFB">
      <w:pPr>
        <w:keepNext w:val="0"/>
        <w:keepLines w:val="0"/>
        <w:pageBreakBefore w:val="0"/>
        <w:kinsoku/>
        <w:wordWrap/>
        <w:overflowPunct/>
        <w:topLinePunct w:val="0"/>
        <w:autoSpaceDE/>
        <w:autoSpaceDN/>
        <w:bidi w:val="0"/>
        <w:spacing w:line="560" w:lineRule="exact"/>
        <w:jc w:val="center"/>
        <w:textAlignment w:val="auto"/>
        <w:rPr>
          <w:rFonts w:hint="eastAsia" w:ascii="方正仿宋_GBK" w:hAnsi="方正仿宋_GBK" w:eastAsia="方正仿宋_GBK" w:cs="方正仿宋_GBK"/>
          <w:b/>
          <w:color w:val="000000"/>
          <w:kern w:val="0"/>
          <w:sz w:val="32"/>
          <w:szCs w:val="32"/>
          <w:highlight w:val="none"/>
        </w:rPr>
      </w:pPr>
      <w:r>
        <w:rPr>
          <w:rFonts w:hint="eastAsia" w:ascii="方正仿宋_GBK" w:hAnsi="方正仿宋_GBK" w:eastAsia="方正仿宋_GBK" w:cs="方正仿宋_GBK"/>
          <w:b/>
          <w:color w:val="000000"/>
          <w:kern w:val="0"/>
          <w:sz w:val="32"/>
          <w:szCs w:val="32"/>
          <w:highlight w:val="none"/>
          <w:lang w:eastAsia="zh-CN"/>
        </w:rPr>
        <w:t>表</w:t>
      </w:r>
      <w:r>
        <w:rPr>
          <w:rFonts w:hint="eastAsia" w:ascii="方正仿宋_GBK" w:hAnsi="方正仿宋_GBK" w:eastAsia="方正仿宋_GBK" w:cs="方正仿宋_GBK"/>
          <w:b/>
          <w:color w:val="000000"/>
          <w:kern w:val="0"/>
          <w:sz w:val="32"/>
          <w:szCs w:val="32"/>
          <w:highlight w:val="none"/>
          <w:lang w:val="en-US" w:eastAsia="zh-CN"/>
        </w:rPr>
        <w:t>1：</w:t>
      </w:r>
      <w:r>
        <w:rPr>
          <w:rFonts w:hint="eastAsia" w:ascii="方正仿宋_GBK" w:hAnsi="方正仿宋_GBK" w:eastAsia="方正仿宋_GBK" w:cs="方正仿宋_GBK"/>
          <w:b/>
          <w:color w:val="000000"/>
          <w:kern w:val="0"/>
          <w:sz w:val="32"/>
          <w:szCs w:val="32"/>
          <w:highlight w:val="none"/>
        </w:rPr>
        <w:t>资格性审查表</w:t>
      </w:r>
    </w:p>
    <w:tbl>
      <w:tblPr>
        <w:tblStyle w:val="13"/>
        <w:tblW w:w="5289" w:type="pct"/>
        <w:tblInd w:w="-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490"/>
        <w:gridCol w:w="6195"/>
      </w:tblGrid>
      <w:tr w14:paraId="2C57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69" w:type="pct"/>
            <w:tcBorders>
              <w:top w:val="single" w:color="auto" w:sz="4" w:space="0"/>
              <w:left w:val="single" w:color="auto" w:sz="4" w:space="0"/>
              <w:bottom w:val="single" w:color="auto" w:sz="4" w:space="0"/>
              <w:right w:val="single" w:color="auto" w:sz="4" w:space="0"/>
            </w:tcBorders>
            <w:noWrap w:val="0"/>
            <w:vAlign w:val="center"/>
          </w:tcPr>
          <w:p w14:paraId="11F4A169">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eastAsia" w:ascii="方正仿宋_GBK" w:hAnsi="方正仿宋_GBK" w:eastAsia="方正仿宋_GBK" w:cs="方正仿宋_GBK"/>
                <w:b/>
                <w:bCs/>
                <w:color w:val="000000"/>
                <w:sz w:val="28"/>
                <w:szCs w:val="28"/>
                <w:lang w:eastAsia="zh-CN"/>
              </w:rPr>
            </w:pPr>
            <w:r>
              <w:rPr>
                <w:rFonts w:hint="eastAsia" w:ascii="方正仿宋_GBK" w:hAnsi="方正仿宋_GBK" w:eastAsia="方正仿宋_GBK" w:cs="方正仿宋_GBK"/>
                <w:b/>
                <w:bCs/>
                <w:color w:val="000000"/>
                <w:sz w:val="28"/>
                <w:szCs w:val="28"/>
                <w:lang w:eastAsia="zh-CN"/>
              </w:rPr>
              <w:t>序号</w:t>
            </w:r>
          </w:p>
        </w:tc>
        <w:tc>
          <w:tcPr>
            <w:tcW w:w="1298" w:type="pct"/>
            <w:tcBorders>
              <w:top w:val="single" w:color="auto" w:sz="4" w:space="0"/>
              <w:left w:val="single" w:color="auto" w:sz="4" w:space="0"/>
              <w:bottom w:val="single" w:color="auto" w:sz="4" w:space="0"/>
              <w:right w:val="single" w:color="auto" w:sz="4" w:space="0"/>
            </w:tcBorders>
            <w:noWrap w:val="0"/>
            <w:vAlign w:val="center"/>
          </w:tcPr>
          <w:p w14:paraId="09CC6973">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sz w:val="28"/>
                <w:szCs w:val="28"/>
              </w:rPr>
              <w:t>评审内容</w:t>
            </w:r>
          </w:p>
        </w:tc>
        <w:tc>
          <w:tcPr>
            <w:tcW w:w="3231" w:type="pct"/>
            <w:tcBorders>
              <w:top w:val="single" w:color="auto" w:sz="4" w:space="0"/>
              <w:left w:val="single" w:color="auto" w:sz="4" w:space="0"/>
              <w:bottom w:val="single" w:color="auto" w:sz="4" w:space="0"/>
              <w:right w:val="single" w:color="auto" w:sz="4" w:space="0"/>
            </w:tcBorders>
            <w:noWrap w:val="0"/>
            <w:vAlign w:val="center"/>
          </w:tcPr>
          <w:p w14:paraId="3487FA09">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eastAsia" w:ascii="方正仿宋_GBK" w:hAnsi="方正仿宋_GBK" w:eastAsia="方正仿宋_GBK" w:cs="方正仿宋_GBK"/>
                <w:b/>
                <w:bCs/>
                <w:color w:val="000000"/>
                <w:sz w:val="28"/>
                <w:szCs w:val="28"/>
                <w:lang w:eastAsia="zh-CN"/>
              </w:rPr>
            </w:pPr>
            <w:r>
              <w:rPr>
                <w:rFonts w:hint="eastAsia" w:ascii="方正仿宋_GBK" w:hAnsi="方正仿宋_GBK" w:eastAsia="方正仿宋_GBK" w:cs="方正仿宋_GBK"/>
                <w:b/>
                <w:bCs/>
                <w:color w:val="000000"/>
                <w:sz w:val="28"/>
                <w:szCs w:val="28"/>
                <w:lang w:eastAsia="zh-CN"/>
              </w:rPr>
              <w:t>要求</w:t>
            </w:r>
          </w:p>
        </w:tc>
      </w:tr>
      <w:tr w14:paraId="7D4B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9" w:type="pct"/>
            <w:tcBorders>
              <w:top w:val="single" w:color="auto" w:sz="4" w:space="0"/>
              <w:left w:val="single" w:color="auto" w:sz="4" w:space="0"/>
              <w:bottom w:val="single" w:color="auto" w:sz="4" w:space="0"/>
              <w:right w:val="single" w:color="auto" w:sz="4" w:space="0"/>
            </w:tcBorders>
            <w:noWrap w:val="0"/>
            <w:vAlign w:val="center"/>
          </w:tcPr>
          <w:p w14:paraId="570A0A8F">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1</w:t>
            </w:r>
          </w:p>
        </w:tc>
        <w:tc>
          <w:tcPr>
            <w:tcW w:w="1298" w:type="pct"/>
            <w:tcBorders>
              <w:top w:val="single" w:color="auto" w:sz="4" w:space="0"/>
              <w:left w:val="single" w:color="auto" w:sz="4" w:space="0"/>
              <w:bottom w:val="single" w:color="auto" w:sz="4" w:space="0"/>
              <w:right w:val="single" w:color="auto" w:sz="4" w:space="0"/>
            </w:tcBorders>
            <w:noWrap w:val="0"/>
            <w:vAlign w:val="center"/>
          </w:tcPr>
          <w:p w14:paraId="32B8C68E">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lang w:eastAsia="zh-CN"/>
              </w:rPr>
              <w:t>具有独立承担民事责任的能力。</w:t>
            </w:r>
          </w:p>
        </w:tc>
        <w:tc>
          <w:tcPr>
            <w:tcW w:w="3231" w:type="pct"/>
            <w:tcBorders>
              <w:top w:val="single" w:color="auto" w:sz="4" w:space="0"/>
              <w:left w:val="single" w:color="auto" w:sz="4" w:space="0"/>
              <w:bottom w:val="single" w:color="auto" w:sz="4" w:space="0"/>
              <w:right w:val="single" w:color="auto" w:sz="4" w:space="0"/>
            </w:tcBorders>
            <w:noWrap w:val="0"/>
            <w:vAlign w:val="center"/>
          </w:tcPr>
          <w:p w14:paraId="18403412">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eastAsia="zh-CN"/>
              </w:rPr>
              <w:t>供应商应在响应文件中提供有效的营业执照（或事业法人登记证或相关证明）正本或副本的复印件（盖</w:t>
            </w:r>
            <w:r>
              <w:rPr>
                <w:rFonts w:hint="eastAsia" w:ascii="方正仿宋_GBK" w:hAnsi="方正仿宋_GBK" w:eastAsia="方正仿宋_GBK" w:cs="方正仿宋_GBK"/>
                <w:color w:val="000000"/>
                <w:sz w:val="28"/>
                <w:szCs w:val="28"/>
                <w:lang w:val="en-US" w:eastAsia="zh-CN"/>
              </w:rPr>
              <w:t>响应</w:t>
            </w:r>
            <w:r>
              <w:rPr>
                <w:rFonts w:hint="eastAsia" w:ascii="方正仿宋_GBK" w:hAnsi="方正仿宋_GBK" w:eastAsia="方正仿宋_GBK" w:cs="方正仿宋_GBK"/>
                <w:color w:val="000000"/>
                <w:sz w:val="28"/>
                <w:szCs w:val="28"/>
                <w:lang w:eastAsia="zh-CN"/>
              </w:rPr>
              <w:t>单位公章）。分支机构响应的，须提供总公司和分公司营业执照副本复印件，总公司出具给分支机构的授权书。</w:t>
            </w:r>
          </w:p>
        </w:tc>
      </w:tr>
      <w:tr w14:paraId="39015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9" w:type="pct"/>
            <w:tcBorders>
              <w:top w:val="single" w:color="auto" w:sz="4" w:space="0"/>
              <w:left w:val="single" w:color="auto" w:sz="4" w:space="0"/>
              <w:bottom w:val="single" w:color="auto" w:sz="4" w:space="0"/>
              <w:right w:val="single" w:color="auto" w:sz="4" w:space="0"/>
            </w:tcBorders>
            <w:noWrap w:val="0"/>
            <w:vAlign w:val="center"/>
          </w:tcPr>
          <w:p w14:paraId="4C6F7EE2">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2</w:t>
            </w:r>
          </w:p>
        </w:tc>
        <w:tc>
          <w:tcPr>
            <w:tcW w:w="129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4F09B4D">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eastAsia="zh-CN"/>
              </w:rPr>
              <w:t>具有良好的商业信誉和健全的财务会计制度。</w:t>
            </w:r>
          </w:p>
        </w:tc>
        <w:tc>
          <w:tcPr>
            <w:tcW w:w="323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B0F59B6">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eastAsia="zh-CN"/>
              </w:rPr>
              <w:t>供应商应在响应文件中提供《资格条件承诺函》。</w:t>
            </w:r>
          </w:p>
        </w:tc>
      </w:tr>
      <w:tr w14:paraId="0E5C8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9" w:type="pct"/>
            <w:tcBorders>
              <w:top w:val="single" w:color="auto" w:sz="4" w:space="0"/>
              <w:left w:val="single" w:color="auto" w:sz="4" w:space="0"/>
              <w:bottom w:val="single" w:color="auto" w:sz="4" w:space="0"/>
              <w:right w:val="single" w:color="auto" w:sz="4" w:space="0"/>
            </w:tcBorders>
            <w:noWrap w:val="0"/>
            <w:vAlign w:val="center"/>
          </w:tcPr>
          <w:p w14:paraId="142D725B">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3</w:t>
            </w:r>
          </w:p>
        </w:tc>
        <w:tc>
          <w:tcPr>
            <w:tcW w:w="129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EBD337D">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eastAsia="zh-CN"/>
              </w:rPr>
              <w:t>具备履行合同所必需的设备和专业技术能力。</w:t>
            </w:r>
          </w:p>
        </w:tc>
        <w:tc>
          <w:tcPr>
            <w:tcW w:w="323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4096152">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eastAsia="zh-CN"/>
              </w:rPr>
              <w:t>供应商应在响应文件中提供《资格条件承诺函》。</w:t>
            </w:r>
          </w:p>
        </w:tc>
      </w:tr>
      <w:tr w14:paraId="2376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9" w:type="pct"/>
            <w:tcBorders>
              <w:top w:val="single" w:color="auto" w:sz="4" w:space="0"/>
              <w:left w:val="single" w:color="auto" w:sz="4" w:space="0"/>
              <w:bottom w:val="single" w:color="auto" w:sz="4" w:space="0"/>
              <w:right w:val="single" w:color="auto" w:sz="4" w:space="0"/>
            </w:tcBorders>
            <w:noWrap w:val="0"/>
            <w:vAlign w:val="center"/>
          </w:tcPr>
          <w:p w14:paraId="79B94E76">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4</w:t>
            </w:r>
          </w:p>
        </w:tc>
        <w:tc>
          <w:tcPr>
            <w:tcW w:w="129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0FC7A8E">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eastAsia="zh-CN"/>
              </w:rPr>
              <w:t>有依法缴纳税收和社会保障资金的良好记录。</w:t>
            </w:r>
          </w:p>
        </w:tc>
        <w:tc>
          <w:tcPr>
            <w:tcW w:w="323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ADBB188">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eastAsia="zh-CN"/>
              </w:rPr>
              <w:t>供应商应在响应文件中提供《资格条件承诺函》。</w:t>
            </w:r>
          </w:p>
        </w:tc>
      </w:tr>
      <w:tr w14:paraId="0E9B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9" w:type="pct"/>
            <w:tcBorders>
              <w:top w:val="single" w:color="auto" w:sz="4" w:space="0"/>
              <w:left w:val="single" w:color="auto" w:sz="4" w:space="0"/>
              <w:bottom w:val="single" w:color="auto" w:sz="4" w:space="0"/>
              <w:right w:val="single" w:color="auto" w:sz="4" w:space="0"/>
            </w:tcBorders>
            <w:noWrap w:val="0"/>
            <w:vAlign w:val="center"/>
          </w:tcPr>
          <w:p w14:paraId="2088C434">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5</w:t>
            </w:r>
          </w:p>
        </w:tc>
        <w:tc>
          <w:tcPr>
            <w:tcW w:w="129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2535971">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eastAsia="zh-CN"/>
              </w:rPr>
              <w:t>参加采购活动前3年内，在经营活动中没有重大违法记录。</w:t>
            </w:r>
          </w:p>
        </w:tc>
        <w:tc>
          <w:tcPr>
            <w:tcW w:w="323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4323F28">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eastAsia="zh-CN"/>
              </w:rPr>
              <w:t>供应商应在响应文件中提供《资格条件承诺函》。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1605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9" w:type="pct"/>
            <w:tcBorders>
              <w:top w:val="single" w:color="auto" w:sz="4" w:space="0"/>
              <w:left w:val="single" w:color="auto" w:sz="4" w:space="0"/>
              <w:bottom w:val="single" w:color="auto" w:sz="4" w:space="0"/>
              <w:right w:val="single" w:color="auto" w:sz="4" w:space="0"/>
            </w:tcBorders>
            <w:noWrap w:val="0"/>
            <w:vAlign w:val="center"/>
          </w:tcPr>
          <w:p w14:paraId="7921FC85">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6</w:t>
            </w:r>
          </w:p>
        </w:tc>
        <w:tc>
          <w:tcPr>
            <w:tcW w:w="129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40F13B7">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eastAsia="zh-CN"/>
              </w:rPr>
              <w:t>符合法律、行政法规规定的其他条件。</w:t>
            </w:r>
          </w:p>
        </w:tc>
        <w:tc>
          <w:tcPr>
            <w:tcW w:w="323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37FBE27">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eastAsia="zh-CN"/>
              </w:rPr>
              <w:t>供应商应在响应文件中提供《资格条件承诺函》。单位负责人为同一人或者存在直接控股、管理关系的不同供应商，不得同时参加本采购项目响应。为本项目提供整体设计、规范编制或者项目管理、监理、检测等服务的供应商，不得再参与本项目响应。</w:t>
            </w:r>
          </w:p>
        </w:tc>
      </w:tr>
      <w:tr w14:paraId="4D84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9" w:type="pct"/>
            <w:tcBorders>
              <w:top w:val="single" w:color="auto" w:sz="4" w:space="0"/>
              <w:left w:val="single" w:color="auto" w:sz="4" w:space="0"/>
              <w:bottom w:val="single" w:color="auto" w:sz="4" w:space="0"/>
              <w:right w:val="single" w:color="auto" w:sz="4" w:space="0"/>
            </w:tcBorders>
            <w:noWrap w:val="0"/>
            <w:vAlign w:val="center"/>
          </w:tcPr>
          <w:p w14:paraId="2AA7719D">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7</w:t>
            </w:r>
          </w:p>
        </w:tc>
        <w:tc>
          <w:tcPr>
            <w:tcW w:w="1298" w:type="pct"/>
            <w:tcBorders>
              <w:top w:val="single" w:color="auto" w:sz="4" w:space="0"/>
              <w:left w:val="single" w:color="auto" w:sz="4" w:space="0"/>
              <w:bottom w:val="single" w:color="auto" w:sz="4" w:space="0"/>
              <w:right w:val="single" w:color="auto" w:sz="4" w:space="0"/>
            </w:tcBorders>
            <w:noWrap w:val="0"/>
            <w:vAlign w:val="center"/>
          </w:tcPr>
          <w:p w14:paraId="368C7AB2">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eastAsia="zh-CN"/>
              </w:rPr>
              <w:t>供应商信用记录。</w:t>
            </w:r>
          </w:p>
        </w:tc>
        <w:tc>
          <w:tcPr>
            <w:tcW w:w="3231" w:type="pct"/>
            <w:tcBorders>
              <w:top w:val="single" w:color="auto" w:sz="4" w:space="0"/>
              <w:left w:val="single" w:color="auto" w:sz="4" w:space="0"/>
              <w:bottom w:val="single" w:color="auto" w:sz="4" w:space="0"/>
              <w:right w:val="single" w:color="auto" w:sz="4" w:space="0"/>
            </w:tcBorders>
            <w:noWrap w:val="0"/>
            <w:vAlign w:val="center"/>
          </w:tcPr>
          <w:p w14:paraId="5F6BE393">
            <w:pPr>
              <w:keepNext w:val="0"/>
              <w:keepLines w:val="0"/>
              <w:pageBreakBefore w:val="0"/>
              <w:widowControl w:val="0"/>
              <w:kinsoku/>
              <w:wordWrap w:val="0"/>
              <w:overflowPunct/>
              <w:topLinePunct w:val="0"/>
              <w:autoSpaceDE/>
              <w:autoSpaceDN/>
              <w:bidi w:val="0"/>
              <w:adjustRightInd w:val="0"/>
              <w:snapToGrid w:val="0"/>
              <w:spacing w:line="480" w:lineRule="exact"/>
              <w:jc w:val="both"/>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eastAsia="zh-CN"/>
              </w:rPr>
              <w:t>供应商应在响应文件中提供《资格条件承诺函》。以采购人接收响应文件截止日当天在“信用中国”网站（www.creditchina.gov.cn）及中国政府采购网（http://www.ccgp.gov.cn/）查询结果为准。如相关失信记录已失效，供应商需在响应文件中提供相关证明资料。</w:t>
            </w:r>
          </w:p>
        </w:tc>
      </w:tr>
      <w:tr w14:paraId="5BF8E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7E6838B">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方正仿宋_GBK" w:hAnsi="方正仿宋_GBK" w:eastAsia="方正仿宋_GBK" w:cs="方正仿宋_GBK"/>
                <w:color w:val="000000"/>
                <w:sz w:val="28"/>
                <w:szCs w:val="28"/>
                <w:highlight w:val="none"/>
                <w:lang w:val="en-US" w:eastAsia="zh-CN"/>
              </w:rPr>
            </w:pPr>
            <w:r>
              <w:rPr>
                <w:rFonts w:hint="eastAsia" w:ascii="方正仿宋_GBK" w:hAnsi="方正仿宋_GBK" w:eastAsia="方正仿宋_GBK" w:cs="方正仿宋_GBK"/>
                <w:color w:val="000000"/>
                <w:sz w:val="28"/>
                <w:szCs w:val="28"/>
                <w:highlight w:val="none"/>
                <w:lang w:val="en-US" w:eastAsia="zh-CN"/>
              </w:rPr>
              <w:t>8</w:t>
            </w:r>
          </w:p>
        </w:tc>
        <w:tc>
          <w:tcPr>
            <w:tcW w:w="129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63E90C1">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方正仿宋_GBK" w:hAnsi="方正仿宋_GBK" w:eastAsia="方正仿宋_GBK" w:cs="方正仿宋_GBK"/>
                <w:color w:val="000000"/>
                <w:kern w:val="2"/>
                <w:sz w:val="28"/>
                <w:szCs w:val="28"/>
                <w:highlight w:val="none"/>
                <w:lang w:val="en-US" w:eastAsia="zh-CN" w:bidi="ar-SA"/>
              </w:rPr>
            </w:pPr>
            <w:r>
              <w:rPr>
                <w:rFonts w:hint="eastAsia" w:ascii="方正仿宋_GBK" w:hAnsi="方正仿宋_GBK" w:eastAsia="方正仿宋_GBK" w:cs="方正仿宋_GBK"/>
                <w:color w:val="000000"/>
                <w:kern w:val="2"/>
                <w:sz w:val="28"/>
                <w:szCs w:val="28"/>
                <w:highlight w:val="none"/>
                <w:lang w:eastAsia="zh-CN"/>
              </w:rPr>
              <w:t>具有履行合同所必需的专业技术能力。</w:t>
            </w:r>
          </w:p>
        </w:tc>
        <w:tc>
          <w:tcPr>
            <w:tcW w:w="323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9C5601F">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方正仿宋_GBK" w:hAnsi="方正仿宋_GBK" w:eastAsia="方正仿宋_GBK" w:cs="方正仿宋_GBK"/>
                <w:color w:val="000000"/>
                <w:kern w:val="2"/>
                <w:sz w:val="28"/>
                <w:szCs w:val="28"/>
                <w:highlight w:val="none"/>
                <w:lang w:val="en-US" w:eastAsia="zh-CN" w:bidi="ar-SA"/>
              </w:rPr>
            </w:pPr>
            <w:r>
              <w:rPr>
                <w:rFonts w:hint="eastAsia" w:ascii="方正仿宋_GBK" w:hAnsi="方正仿宋_GBK" w:eastAsia="方正仿宋_GBK" w:cs="方正仿宋_GBK"/>
                <w:color w:val="000000"/>
                <w:sz w:val="28"/>
                <w:szCs w:val="28"/>
                <w:highlight w:val="none"/>
                <w:lang w:eastAsia="zh-CN"/>
              </w:rPr>
              <w:t>供应商应在响应文件中提供同类</w:t>
            </w:r>
            <w:r>
              <w:rPr>
                <w:rFonts w:hint="eastAsia" w:ascii="方正仿宋_GBK" w:hAnsi="方正仿宋_GBK" w:eastAsia="方正仿宋_GBK" w:cs="方正仿宋_GBK"/>
                <w:color w:val="000000"/>
                <w:kern w:val="2"/>
                <w:sz w:val="28"/>
                <w:szCs w:val="28"/>
                <w:highlight w:val="none"/>
                <w:lang w:eastAsia="zh-CN"/>
              </w:rPr>
              <w:t>项目合同不少于</w:t>
            </w:r>
            <w:r>
              <w:rPr>
                <w:rFonts w:hint="eastAsia" w:ascii="方正仿宋_GBK" w:hAnsi="方正仿宋_GBK" w:eastAsia="方正仿宋_GBK" w:cs="方正仿宋_GBK"/>
                <w:color w:val="000000"/>
                <w:kern w:val="2"/>
                <w:sz w:val="28"/>
                <w:szCs w:val="28"/>
                <w:highlight w:val="none"/>
                <w:lang w:val="en-US" w:eastAsia="zh-CN"/>
              </w:rPr>
              <w:t>1份。</w:t>
            </w:r>
          </w:p>
        </w:tc>
      </w:tr>
      <w:tr w14:paraId="1EC7B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76C9680">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方正仿宋_GBK" w:hAnsi="方正仿宋_GBK" w:eastAsia="方正仿宋_GBK" w:cs="方正仿宋_GBK"/>
                <w:color w:val="000000"/>
                <w:sz w:val="28"/>
                <w:szCs w:val="28"/>
                <w:highlight w:val="none"/>
                <w:lang w:val="en-US" w:eastAsia="zh-CN"/>
              </w:rPr>
            </w:pPr>
            <w:r>
              <w:rPr>
                <w:rFonts w:hint="eastAsia" w:ascii="方正仿宋_GBK" w:hAnsi="方正仿宋_GBK" w:eastAsia="方正仿宋_GBK" w:cs="方正仿宋_GBK"/>
                <w:color w:val="000000"/>
                <w:sz w:val="28"/>
                <w:szCs w:val="28"/>
                <w:highlight w:val="none"/>
                <w:lang w:val="en-US" w:eastAsia="zh-CN"/>
              </w:rPr>
              <w:t>9</w:t>
            </w:r>
          </w:p>
        </w:tc>
        <w:tc>
          <w:tcPr>
            <w:tcW w:w="129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E587594">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方正仿宋_GBK" w:hAnsi="方正仿宋_GBK" w:eastAsia="方正仿宋_GBK" w:cs="方正仿宋_GBK"/>
                <w:color w:val="000000"/>
                <w:kern w:val="2"/>
                <w:sz w:val="28"/>
                <w:szCs w:val="28"/>
                <w:highlight w:val="none"/>
                <w:lang w:val="en-US" w:eastAsia="zh-CN" w:bidi="ar-SA"/>
              </w:rPr>
            </w:pPr>
            <w:r>
              <w:rPr>
                <w:rFonts w:hint="eastAsia" w:ascii="方正仿宋_GBK" w:hAnsi="方正仿宋_GBK" w:eastAsia="方正仿宋_GBK" w:cs="方正仿宋_GBK"/>
                <w:color w:val="000000"/>
                <w:sz w:val="28"/>
                <w:szCs w:val="28"/>
                <w:highlight w:val="none"/>
                <w:lang w:eastAsia="zh-CN"/>
              </w:rPr>
              <w:t>本项目不接受联合体</w:t>
            </w:r>
            <w:r>
              <w:rPr>
                <w:rFonts w:hint="eastAsia" w:ascii="方正仿宋_GBK" w:hAnsi="方正仿宋_GBK" w:eastAsia="方正仿宋_GBK" w:cs="方正仿宋_GBK"/>
                <w:color w:val="000000"/>
                <w:sz w:val="28"/>
                <w:szCs w:val="28"/>
                <w:highlight w:val="none"/>
                <w:lang w:val="en-US" w:eastAsia="zh-CN"/>
              </w:rPr>
              <w:t>响应</w:t>
            </w:r>
            <w:r>
              <w:rPr>
                <w:rFonts w:hint="eastAsia" w:ascii="方正仿宋_GBK" w:hAnsi="方正仿宋_GBK" w:eastAsia="方正仿宋_GBK" w:cs="方正仿宋_GBK"/>
                <w:color w:val="000000"/>
                <w:sz w:val="28"/>
                <w:szCs w:val="28"/>
                <w:highlight w:val="none"/>
                <w:lang w:eastAsia="zh-CN"/>
              </w:rPr>
              <w:t>。</w:t>
            </w:r>
          </w:p>
        </w:tc>
        <w:tc>
          <w:tcPr>
            <w:tcW w:w="323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D3986DC">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方正仿宋_GBK" w:hAnsi="方正仿宋_GBK" w:eastAsia="方正仿宋_GBK" w:cs="方正仿宋_GBK"/>
                <w:color w:val="000000"/>
                <w:kern w:val="2"/>
                <w:sz w:val="28"/>
                <w:szCs w:val="28"/>
                <w:highlight w:val="none"/>
                <w:lang w:val="en-US" w:eastAsia="zh-CN" w:bidi="ar-SA"/>
              </w:rPr>
            </w:pPr>
            <w:r>
              <w:rPr>
                <w:rFonts w:hint="eastAsia" w:ascii="方正仿宋_GBK" w:hAnsi="方正仿宋_GBK" w:eastAsia="方正仿宋_GBK" w:cs="方正仿宋_GBK"/>
                <w:color w:val="000000"/>
                <w:sz w:val="28"/>
                <w:szCs w:val="28"/>
                <w:highlight w:val="none"/>
                <w:lang w:eastAsia="zh-CN"/>
              </w:rPr>
              <w:t>供应商应在响应文件中提供《响应承诺函》。</w:t>
            </w:r>
          </w:p>
        </w:tc>
      </w:tr>
      <w:tr w14:paraId="5BD7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6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9AB03B9">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方正仿宋_GBK" w:hAnsi="方正仿宋_GBK" w:eastAsia="方正仿宋_GBK" w:cs="方正仿宋_GBK"/>
                <w:color w:val="000000"/>
                <w:sz w:val="28"/>
                <w:szCs w:val="28"/>
                <w:highlight w:val="none"/>
                <w:lang w:val="en-US" w:eastAsia="zh-CN"/>
              </w:rPr>
            </w:pPr>
            <w:r>
              <w:rPr>
                <w:rFonts w:hint="eastAsia" w:ascii="方正仿宋_GBK" w:hAnsi="方正仿宋_GBK" w:eastAsia="方正仿宋_GBK" w:cs="方正仿宋_GBK"/>
                <w:color w:val="000000"/>
                <w:sz w:val="28"/>
                <w:szCs w:val="28"/>
                <w:highlight w:val="none"/>
                <w:lang w:val="en-US" w:eastAsia="zh-CN"/>
              </w:rPr>
              <w:t>10</w:t>
            </w:r>
          </w:p>
        </w:tc>
        <w:tc>
          <w:tcPr>
            <w:tcW w:w="129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86D1D9F">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方正仿宋_GBK" w:hAnsi="方正仿宋_GBK" w:eastAsia="方正仿宋_GBK" w:cs="方正仿宋_GBK"/>
                <w:color w:val="000000"/>
                <w:kern w:val="2"/>
                <w:sz w:val="28"/>
                <w:szCs w:val="28"/>
                <w:highlight w:val="none"/>
                <w:lang w:val="en-US" w:eastAsia="zh-CN" w:bidi="ar-SA"/>
              </w:rPr>
            </w:pPr>
            <w:r>
              <w:rPr>
                <w:rFonts w:hint="eastAsia" w:ascii="方正仿宋_GBK" w:hAnsi="方正仿宋_GBK" w:eastAsia="方正仿宋_GBK" w:cs="方正仿宋_GBK"/>
                <w:color w:val="000000"/>
                <w:sz w:val="28"/>
                <w:szCs w:val="28"/>
                <w:highlight w:val="none"/>
                <w:lang w:eastAsia="zh-CN"/>
              </w:rPr>
              <w:t>响应价格是否超出</w:t>
            </w:r>
            <w:r>
              <w:rPr>
                <w:rFonts w:hint="eastAsia" w:ascii="方正仿宋_GBK" w:hAnsi="方正仿宋_GBK" w:eastAsia="方正仿宋_GBK" w:cs="方正仿宋_GBK"/>
                <w:color w:val="000000"/>
                <w:sz w:val="28"/>
                <w:szCs w:val="28"/>
                <w:highlight w:val="none"/>
                <w:lang w:val="en-US" w:eastAsia="zh-CN"/>
              </w:rPr>
              <w:t>最高限价</w:t>
            </w:r>
            <w:r>
              <w:rPr>
                <w:rFonts w:hint="eastAsia" w:ascii="方正仿宋_GBK" w:hAnsi="方正仿宋_GBK" w:eastAsia="方正仿宋_GBK" w:cs="方正仿宋_GBK"/>
                <w:color w:val="000000"/>
                <w:sz w:val="28"/>
                <w:szCs w:val="28"/>
                <w:highlight w:val="none"/>
                <w:lang w:eastAsia="zh-CN"/>
              </w:rPr>
              <w:t>。</w:t>
            </w:r>
          </w:p>
        </w:tc>
        <w:tc>
          <w:tcPr>
            <w:tcW w:w="323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5B3518A">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方正仿宋_GBK" w:hAnsi="方正仿宋_GBK" w:eastAsia="方正仿宋_GBK" w:cs="方正仿宋_GBK"/>
                <w:color w:val="000000"/>
                <w:kern w:val="2"/>
                <w:sz w:val="28"/>
                <w:szCs w:val="28"/>
                <w:highlight w:val="none"/>
                <w:lang w:val="en-US" w:eastAsia="zh-CN" w:bidi="ar-SA"/>
              </w:rPr>
            </w:pPr>
            <w:r>
              <w:rPr>
                <w:rFonts w:hint="eastAsia" w:ascii="方正仿宋_GBK" w:hAnsi="方正仿宋_GBK" w:eastAsia="方正仿宋_GBK" w:cs="方正仿宋_GBK"/>
                <w:color w:val="000000"/>
                <w:sz w:val="28"/>
                <w:szCs w:val="28"/>
                <w:highlight w:val="none"/>
                <w:lang w:eastAsia="zh-CN"/>
              </w:rPr>
              <w:t>供应商应在响应文件中提供《响应承诺函》。</w:t>
            </w:r>
          </w:p>
        </w:tc>
      </w:tr>
      <w:tr w14:paraId="117F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1768" w:type="pct"/>
            <w:gridSpan w:val="2"/>
            <w:tcBorders>
              <w:top w:val="single" w:color="auto" w:sz="4" w:space="0"/>
              <w:left w:val="single" w:color="auto" w:sz="4" w:space="0"/>
              <w:bottom w:val="single" w:color="auto" w:sz="4" w:space="0"/>
              <w:right w:val="single" w:color="auto" w:sz="4" w:space="0"/>
            </w:tcBorders>
            <w:noWrap w:val="0"/>
            <w:vAlign w:val="center"/>
          </w:tcPr>
          <w:p w14:paraId="0B808CA4">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eastAsia="zh-CN"/>
              </w:rPr>
              <w:t>结论</w:t>
            </w:r>
          </w:p>
        </w:tc>
        <w:tc>
          <w:tcPr>
            <w:tcW w:w="3231" w:type="pct"/>
            <w:tcBorders>
              <w:top w:val="single" w:color="auto" w:sz="4" w:space="0"/>
              <w:left w:val="single" w:color="auto" w:sz="4" w:space="0"/>
              <w:bottom w:val="single" w:color="auto" w:sz="4" w:space="0"/>
              <w:right w:val="single" w:color="auto" w:sz="4" w:space="0"/>
            </w:tcBorders>
            <w:noWrap w:val="0"/>
            <w:vAlign w:val="center"/>
          </w:tcPr>
          <w:p w14:paraId="29C42085">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eastAsia" w:ascii="方正仿宋_GBK" w:hAnsi="方正仿宋_GBK" w:eastAsia="方正仿宋_GBK" w:cs="方正仿宋_GBK"/>
                <w:color w:val="000000"/>
                <w:sz w:val="28"/>
                <w:szCs w:val="28"/>
              </w:rPr>
            </w:pPr>
          </w:p>
        </w:tc>
      </w:tr>
    </w:tbl>
    <w:p w14:paraId="71D60907">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仿宋_GBK" w:hAnsi="方正仿宋_GBK" w:eastAsia="方正仿宋_GBK" w:cs="方正仿宋_GBK"/>
          <w:b w:val="0"/>
          <w:bCs w:val="0"/>
          <w:snapToGrid w:val="0"/>
          <w:color w:val="000000"/>
          <w:kern w:val="0"/>
          <w:sz w:val="32"/>
          <w:szCs w:val="32"/>
          <w:lang w:eastAsia="zh-CN"/>
        </w:rPr>
      </w:pPr>
      <w:r>
        <w:rPr>
          <w:rFonts w:hint="eastAsia" w:ascii="方正仿宋_GBK" w:hAnsi="方正仿宋_GBK" w:eastAsia="方正仿宋_GBK" w:cs="方正仿宋_GBK"/>
          <w:b w:val="0"/>
          <w:bCs w:val="0"/>
          <w:snapToGrid w:val="0"/>
          <w:color w:val="000000"/>
          <w:kern w:val="0"/>
          <w:sz w:val="32"/>
          <w:szCs w:val="32"/>
        </w:rPr>
        <w:t>注：1.在结论栏中按“一票否决”填写“合格”或“不合格”</w:t>
      </w:r>
      <w:r>
        <w:rPr>
          <w:rFonts w:hint="eastAsia" w:ascii="方正仿宋_GBK" w:hAnsi="方正仿宋_GBK" w:eastAsia="方正仿宋_GBK" w:cs="方正仿宋_GBK"/>
          <w:b w:val="0"/>
          <w:bCs w:val="0"/>
          <w:snapToGrid w:val="0"/>
          <w:color w:val="000000"/>
          <w:kern w:val="0"/>
          <w:sz w:val="32"/>
          <w:szCs w:val="32"/>
          <w:lang w:eastAsia="zh-CN"/>
        </w:rPr>
        <w:t>；</w:t>
      </w:r>
    </w:p>
    <w:p w14:paraId="7824BA1D">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方正仿宋_GBK" w:hAnsi="方正仿宋_GBK" w:eastAsia="方正仿宋_GBK" w:cs="方正仿宋_GBK"/>
          <w:b/>
          <w:color w:val="000000"/>
          <w:kern w:val="0"/>
          <w:sz w:val="32"/>
          <w:szCs w:val="32"/>
          <w:lang w:eastAsia="zh-CN"/>
        </w:rPr>
      </w:pPr>
      <w:r>
        <w:rPr>
          <w:rFonts w:hint="eastAsia" w:ascii="方正仿宋_GBK" w:hAnsi="方正仿宋_GBK" w:eastAsia="方正仿宋_GBK" w:cs="方正仿宋_GBK"/>
          <w:b w:val="0"/>
          <w:bCs w:val="0"/>
          <w:snapToGrid w:val="0"/>
          <w:color w:val="000000"/>
          <w:kern w:val="0"/>
          <w:sz w:val="32"/>
          <w:szCs w:val="32"/>
        </w:rPr>
        <w:t>2.有</w:t>
      </w:r>
      <w:r>
        <w:rPr>
          <w:rFonts w:hint="eastAsia" w:ascii="方正仿宋_GBK" w:hAnsi="方正仿宋_GBK" w:eastAsia="方正仿宋_GBK" w:cs="方正仿宋_GBK"/>
          <w:b w:val="0"/>
          <w:bCs w:val="0"/>
          <w:snapToGrid w:val="0"/>
          <w:color w:val="000000"/>
          <w:kern w:val="0"/>
          <w:sz w:val="32"/>
          <w:szCs w:val="32"/>
          <w:lang w:eastAsia="zh-CN"/>
        </w:rPr>
        <w:t>任一</w:t>
      </w:r>
      <w:r>
        <w:rPr>
          <w:rFonts w:hint="eastAsia" w:ascii="方正仿宋_GBK" w:hAnsi="方正仿宋_GBK" w:eastAsia="方正仿宋_GBK" w:cs="方正仿宋_GBK"/>
          <w:b w:val="0"/>
          <w:bCs w:val="0"/>
          <w:snapToGrid w:val="0"/>
          <w:color w:val="000000"/>
          <w:kern w:val="0"/>
          <w:sz w:val="32"/>
          <w:szCs w:val="32"/>
        </w:rPr>
        <w:t>评委对供应商的结论为“不合格”则该供应商为不合格供应商，不得进入下一步详细评审。</w:t>
      </w:r>
    </w:p>
    <w:p w14:paraId="08226072">
      <w:pPr>
        <w:pStyle w:val="3"/>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方正楷体_GBK" w:hAnsi="方正楷体_GBK" w:eastAsia="方正楷体_GBK" w:cs="方正楷体_GBK"/>
          <w:b w:val="0"/>
          <w:bCs w:val="0"/>
          <w:color w:val="000000"/>
          <w:sz w:val="32"/>
          <w:szCs w:val="32"/>
        </w:rPr>
      </w:pPr>
      <w:r>
        <w:rPr>
          <w:rFonts w:hint="eastAsia" w:ascii="方正楷体_GBK" w:hAnsi="方正楷体_GBK" w:eastAsia="方正楷体_GBK" w:cs="方正楷体_GBK"/>
          <w:b w:val="0"/>
          <w:bCs w:val="0"/>
          <w:color w:val="000000"/>
          <w:sz w:val="32"/>
          <w:szCs w:val="32"/>
          <w:lang w:eastAsia="zh-CN"/>
        </w:rPr>
        <w:t>（二）</w:t>
      </w:r>
      <w:r>
        <w:rPr>
          <w:rFonts w:hint="eastAsia" w:ascii="方正楷体_GBK" w:hAnsi="方正楷体_GBK" w:eastAsia="方正楷体_GBK" w:cs="方正楷体_GBK"/>
          <w:b w:val="0"/>
          <w:bCs w:val="0"/>
          <w:color w:val="000000"/>
          <w:sz w:val="32"/>
          <w:szCs w:val="32"/>
        </w:rPr>
        <w:t>比较与评价</w:t>
      </w:r>
    </w:p>
    <w:p w14:paraId="511BF156">
      <w:pPr>
        <w:pStyle w:val="3"/>
        <w:keepNext w:val="0"/>
        <w:keepLines w:val="0"/>
        <w:pageBreakBefore w:val="0"/>
        <w:widowControl w:val="0"/>
        <w:kinsoku/>
        <w:wordWrap/>
        <w:overflowPunct/>
        <w:topLinePunct w:val="0"/>
        <w:autoSpaceDE/>
        <w:autoSpaceDN/>
        <w:bidi w:val="0"/>
        <w:adjustRightInd w:val="0"/>
        <w:snapToGrid w:val="0"/>
        <w:spacing w:line="560" w:lineRule="exact"/>
        <w:ind w:firstLine="560"/>
        <w:jc w:val="both"/>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rPr>
        <w:t>评审小组成员对通过资格审查的供应商，</w:t>
      </w:r>
      <w:r>
        <w:rPr>
          <w:rFonts w:hint="eastAsia" w:ascii="方正仿宋_GBK" w:hAnsi="方正仿宋_GBK" w:eastAsia="方正仿宋_GBK" w:cs="方正仿宋_GBK"/>
          <w:color w:val="000000"/>
          <w:sz w:val="32"/>
          <w:szCs w:val="32"/>
          <w:lang w:eastAsia="zh-CN"/>
        </w:rPr>
        <w:t>根据评分标准（表</w:t>
      </w:r>
      <w:r>
        <w:rPr>
          <w:rFonts w:hint="eastAsia" w:ascii="方正仿宋_GBK" w:hAnsi="方正仿宋_GBK" w:eastAsia="方正仿宋_GBK" w:cs="方正仿宋_GBK"/>
          <w:color w:val="000000"/>
          <w:sz w:val="32"/>
          <w:szCs w:val="32"/>
          <w:lang w:val="en-US" w:eastAsia="zh-CN"/>
        </w:rPr>
        <w:t>2</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对照项目响应情况进行量化打分</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得分取小数点后的2位数。</w:t>
      </w:r>
    </w:p>
    <w:p w14:paraId="3A2FEC86">
      <w:pPr>
        <w:spacing w:line="560" w:lineRule="exact"/>
        <w:jc w:val="center"/>
        <w:rPr>
          <w:rFonts w:hint="eastAsia" w:ascii="方正仿宋_GBK" w:hAnsi="方正仿宋_GBK" w:eastAsia="方正仿宋_GBK" w:cs="方正仿宋_GBK"/>
          <w:b/>
          <w:color w:val="000000"/>
          <w:kern w:val="0"/>
          <w:sz w:val="32"/>
          <w:szCs w:val="32"/>
        </w:rPr>
      </w:pPr>
      <w:r>
        <w:rPr>
          <w:rFonts w:hint="eastAsia" w:ascii="方正仿宋_GBK" w:hAnsi="方正仿宋_GBK" w:eastAsia="方正仿宋_GBK" w:cs="方正仿宋_GBK"/>
          <w:b/>
          <w:color w:val="000000"/>
          <w:kern w:val="0"/>
          <w:sz w:val="32"/>
          <w:szCs w:val="32"/>
          <w:lang w:eastAsia="zh-CN"/>
        </w:rPr>
        <w:t>表</w:t>
      </w:r>
      <w:r>
        <w:rPr>
          <w:rFonts w:hint="eastAsia" w:ascii="方正仿宋_GBK" w:hAnsi="方正仿宋_GBK" w:eastAsia="方正仿宋_GBK" w:cs="方正仿宋_GBK"/>
          <w:b/>
          <w:color w:val="000000"/>
          <w:kern w:val="0"/>
          <w:sz w:val="32"/>
          <w:szCs w:val="32"/>
          <w:lang w:val="en-US" w:eastAsia="zh-CN"/>
        </w:rPr>
        <w:t>2：</w:t>
      </w:r>
      <w:r>
        <w:rPr>
          <w:rFonts w:hint="eastAsia" w:ascii="方正仿宋_GBK" w:hAnsi="方正仿宋_GBK" w:eastAsia="方正仿宋_GBK" w:cs="方正仿宋_GBK"/>
          <w:b/>
          <w:color w:val="000000"/>
          <w:kern w:val="0"/>
          <w:sz w:val="32"/>
          <w:szCs w:val="32"/>
        </w:rPr>
        <w:t>评分标准</w:t>
      </w:r>
    </w:p>
    <w:tbl>
      <w:tblPr>
        <w:tblStyle w:val="13"/>
        <w:tblW w:w="5289" w:type="pct"/>
        <w:tblInd w:w="-2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10"/>
        <w:gridCol w:w="6615"/>
        <w:gridCol w:w="780"/>
      </w:tblGrid>
      <w:tr w14:paraId="3AB5A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06" w:type="pct"/>
            <w:tcBorders>
              <w:top w:val="single" w:color="auto" w:sz="4" w:space="0"/>
              <w:left w:val="single" w:color="auto" w:sz="4" w:space="0"/>
              <w:bottom w:val="single" w:color="auto" w:sz="4" w:space="0"/>
              <w:right w:val="single" w:color="auto" w:sz="4" w:space="0"/>
            </w:tcBorders>
            <w:noWrap w:val="0"/>
            <w:vAlign w:val="center"/>
          </w:tcPr>
          <w:p w14:paraId="6BD44CB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b/>
                <w:bCs/>
                <w:color w:val="000000"/>
                <w:sz w:val="28"/>
                <w:szCs w:val="28"/>
                <w:lang w:eastAsia="zh-CN"/>
              </w:rPr>
            </w:pPr>
            <w:r>
              <w:rPr>
                <w:rFonts w:hint="eastAsia" w:ascii="方正仿宋_GBK" w:hAnsi="方正仿宋_GBK" w:eastAsia="方正仿宋_GBK" w:cs="方正仿宋_GBK"/>
                <w:b/>
                <w:bCs/>
                <w:color w:val="000000"/>
                <w:sz w:val="28"/>
                <w:szCs w:val="28"/>
                <w:lang w:eastAsia="zh-CN"/>
              </w:rPr>
              <w:t>序号</w:t>
            </w:r>
          </w:p>
        </w:tc>
        <w:tc>
          <w:tcPr>
            <w:tcW w:w="735" w:type="pct"/>
            <w:tcBorders>
              <w:top w:val="single" w:color="auto" w:sz="4" w:space="0"/>
              <w:left w:val="single" w:color="auto" w:sz="4" w:space="0"/>
              <w:bottom w:val="single" w:color="auto" w:sz="4" w:space="0"/>
              <w:right w:val="single" w:color="auto" w:sz="4" w:space="0"/>
            </w:tcBorders>
            <w:noWrap w:val="0"/>
            <w:vAlign w:val="center"/>
          </w:tcPr>
          <w:p w14:paraId="582C82F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sz w:val="28"/>
                <w:szCs w:val="28"/>
              </w:rPr>
              <w:t>评</w:t>
            </w:r>
            <w:r>
              <w:rPr>
                <w:rFonts w:hint="eastAsia" w:ascii="方正仿宋_GBK" w:hAnsi="方正仿宋_GBK" w:eastAsia="方正仿宋_GBK" w:cs="方正仿宋_GBK"/>
                <w:b/>
                <w:bCs/>
                <w:color w:val="000000"/>
                <w:sz w:val="28"/>
                <w:szCs w:val="28"/>
                <w:lang w:eastAsia="zh-CN"/>
              </w:rPr>
              <w:t>分</w:t>
            </w:r>
            <w:r>
              <w:rPr>
                <w:rFonts w:hint="eastAsia" w:ascii="方正仿宋_GBK" w:hAnsi="方正仿宋_GBK" w:eastAsia="方正仿宋_GBK" w:cs="方正仿宋_GBK"/>
                <w:b/>
                <w:bCs/>
                <w:color w:val="000000"/>
                <w:sz w:val="28"/>
                <w:szCs w:val="28"/>
              </w:rPr>
              <w:t>内容</w:t>
            </w:r>
          </w:p>
        </w:tc>
        <w:tc>
          <w:tcPr>
            <w:tcW w:w="3450" w:type="pct"/>
            <w:tcBorders>
              <w:top w:val="single" w:color="auto" w:sz="4" w:space="0"/>
              <w:left w:val="single" w:color="auto" w:sz="4" w:space="0"/>
              <w:bottom w:val="single" w:color="auto" w:sz="4" w:space="0"/>
              <w:right w:val="single" w:color="auto" w:sz="4" w:space="0"/>
            </w:tcBorders>
            <w:noWrap w:val="0"/>
            <w:vAlign w:val="center"/>
          </w:tcPr>
          <w:p w14:paraId="6B4F8E9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b/>
                <w:bCs/>
                <w:color w:val="000000"/>
                <w:sz w:val="28"/>
                <w:szCs w:val="28"/>
                <w:lang w:eastAsia="zh-CN"/>
              </w:rPr>
            </w:pPr>
            <w:r>
              <w:rPr>
                <w:rFonts w:hint="eastAsia" w:ascii="方正仿宋_GBK" w:hAnsi="方正仿宋_GBK" w:eastAsia="方正仿宋_GBK" w:cs="方正仿宋_GBK"/>
                <w:b/>
                <w:bCs/>
                <w:color w:val="000000"/>
                <w:sz w:val="28"/>
                <w:szCs w:val="28"/>
                <w:lang w:eastAsia="zh-CN"/>
              </w:rPr>
              <w:t>评分细则</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5B79726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b/>
                <w:bCs/>
                <w:color w:val="000000"/>
                <w:sz w:val="28"/>
                <w:szCs w:val="28"/>
                <w:lang w:eastAsia="zh-CN"/>
              </w:rPr>
            </w:pPr>
            <w:r>
              <w:rPr>
                <w:rFonts w:hint="eastAsia" w:ascii="方正仿宋_GBK" w:hAnsi="方正仿宋_GBK" w:eastAsia="方正仿宋_GBK" w:cs="方正仿宋_GBK"/>
                <w:b/>
                <w:bCs/>
                <w:color w:val="000000"/>
                <w:sz w:val="28"/>
                <w:szCs w:val="28"/>
                <w:lang w:eastAsia="zh-CN"/>
              </w:rPr>
              <w:t>分值</w:t>
            </w:r>
          </w:p>
        </w:tc>
      </w:tr>
      <w:tr w14:paraId="07F47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6" w:type="pct"/>
            <w:vMerge w:val="restart"/>
            <w:tcBorders>
              <w:top w:val="single" w:color="auto" w:sz="4" w:space="0"/>
              <w:left w:val="single" w:color="auto" w:sz="4" w:space="0"/>
              <w:right w:val="single" w:color="auto" w:sz="4" w:space="0"/>
            </w:tcBorders>
            <w:noWrap w:val="0"/>
            <w:vAlign w:val="center"/>
          </w:tcPr>
          <w:p w14:paraId="6AE7950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1</w:t>
            </w:r>
          </w:p>
        </w:tc>
        <w:tc>
          <w:tcPr>
            <w:tcW w:w="735" w:type="pct"/>
            <w:vMerge w:val="restart"/>
            <w:tcBorders>
              <w:top w:val="single" w:color="auto" w:sz="4" w:space="0"/>
              <w:left w:val="single" w:color="auto" w:sz="4" w:space="0"/>
              <w:right w:val="single" w:color="auto" w:sz="4" w:space="0"/>
            </w:tcBorders>
            <w:noWrap w:val="0"/>
            <w:vAlign w:val="center"/>
          </w:tcPr>
          <w:p w14:paraId="5DA06C7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eastAsia="zh-CN"/>
              </w:rPr>
              <w:t>技术评价</w:t>
            </w:r>
          </w:p>
          <w:p w14:paraId="7F203B2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eastAsia="zh-CN"/>
              </w:rPr>
              <w:t>（</w:t>
            </w:r>
            <w:r>
              <w:rPr>
                <w:rFonts w:hint="eastAsia" w:ascii="方正仿宋_GBK" w:hAnsi="方正仿宋_GBK" w:eastAsia="方正仿宋_GBK" w:cs="方正仿宋_GBK"/>
                <w:color w:val="000000"/>
                <w:sz w:val="28"/>
                <w:szCs w:val="28"/>
                <w:lang w:val="en-US" w:eastAsia="zh-CN"/>
              </w:rPr>
              <w:t>60分</w:t>
            </w:r>
            <w:r>
              <w:rPr>
                <w:rFonts w:hint="eastAsia" w:ascii="方正仿宋_GBK" w:hAnsi="方正仿宋_GBK" w:eastAsia="方正仿宋_GBK" w:cs="方正仿宋_GBK"/>
                <w:color w:val="000000"/>
                <w:sz w:val="28"/>
                <w:szCs w:val="28"/>
                <w:lang w:eastAsia="zh-CN"/>
              </w:rPr>
              <w:t>）</w:t>
            </w:r>
          </w:p>
        </w:tc>
        <w:tc>
          <w:tcPr>
            <w:tcW w:w="3450" w:type="pct"/>
            <w:tcBorders>
              <w:top w:val="single" w:color="auto" w:sz="4" w:space="0"/>
              <w:left w:val="single" w:color="auto" w:sz="4" w:space="0"/>
              <w:bottom w:val="single" w:color="auto" w:sz="4" w:space="0"/>
              <w:right w:val="single" w:color="auto" w:sz="4" w:space="0"/>
            </w:tcBorders>
            <w:noWrap w:val="0"/>
            <w:vAlign w:val="center"/>
          </w:tcPr>
          <w:p w14:paraId="4A2B7EB6">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eastAsia="zh-CN"/>
              </w:rPr>
              <w:t>根据供应商针对本项目提供的活动策划方案（包括但不限于：总体策划、现场布置规划、参展企业服务方案等）进行评审：①供应商针对本项目提供的活动策划方案内容丰富，活动主题积极明确，凸显活动主题，突出河源农业产业，设计及创意策划思想清晰明确，能完全满足且优于采购需求的，得12分；②供应商针对本项目提供的活动策划方案内容较丰富，活动主题较明确，较能突出河源农业产业，设计及创意策划思路较清晰，能满足采购需求的，得9分；③供应商针对本项目提供的活动策划方案内容一般，活动主题基本积极清晰，基本突出河源农业产业，基本能满足采购需求要求的，得6分；④供应商针对本项目提供的活动策划方案内容不完整，主题不明确，未突出河源农业产业，难以满足采购需求要求的，得3分；⑤未提供相关方案或其他情形的，得0分。</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4EAB2F6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12</w:t>
            </w:r>
          </w:p>
        </w:tc>
      </w:tr>
      <w:tr w14:paraId="23B7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6" w:type="pct"/>
            <w:vMerge w:val="continue"/>
            <w:tcBorders>
              <w:left w:val="single" w:color="auto" w:sz="4" w:space="0"/>
              <w:bottom w:val="single" w:color="auto" w:sz="4" w:space="0"/>
              <w:right w:val="single" w:color="auto" w:sz="4" w:space="0"/>
            </w:tcBorders>
            <w:noWrap w:val="0"/>
            <w:vAlign w:val="center"/>
          </w:tcPr>
          <w:p w14:paraId="490188E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val="en-US" w:eastAsia="zh-CN"/>
              </w:rPr>
            </w:pPr>
          </w:p>
        </w:tc>
        <w:tc>
          <w:tcPr>
            <w:tcW w:w="735" w:type="pct"/>
            <w:vMerge w:val="continue"/>
            <w:tcBorders>
              <w:left w:val="single" w:color="auto" w:sz="4" w:space="0"/>
              <w:bottom w:val="single" w:color="auto" w:sz="4" w:space="0"/>
              <w:right w:val="single" w:color="auto" w:sz="4" w:space="0"/>
            </w:tcBorders>
            <w:noWrap w:val="0"/>
            <w:vAlign w:val="center"/>
          </w:tcPr>
          <w:p w14:paraId="47A82CD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eastAsia="zh-CN"/>
              </w:rPr>
            </w:pPr>
          </w:p>
        </w:tc>
        <w:tc>
          <w:tcPr>
            <w:tcW w:w="3450" w:type="pct"/>
            <w:tcBorders>
              <w:top w:val="single" w:color="auto" w:sz="4" w:space="0"/>
              <w:left w:val="single" w:color="auto" w:sz="4" w:space="0"/>
              <w:bottom w:val="single" w:color="auto" w:sz="4" w:space="0"/>
              <w:right w:val="single" w:color="auto" w:sz="4" w:space="0"/>
            </w:tcBorders>
            <w:noWrap w:val="0"/>
            <w:vAlign w:val="center"/>
          </w:tcPr>
          <w:p w14:paraId="3DE641A2">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eastAsia="zh-CN"/>
              </w:rPr>
              <w:t>根据供应商针对本项目提供的活动组织及实施方案（包括但不限于：活动节目安排、人员安排、设备方案等）进行评审：①供应商针对本项目提供的活动排期紧凑、贴合河源农业产业和产销对接特点，设施齐全，服务人员充足、组织结构严谨，设备齐全，能完全满足且优于采购需求的，得12分；②供应商针对本项目提供的活动排期较紧凑，较贴合河源农业产业和产销对接特点，服务人员较充足、设备较齐全，能满足采购需求的，得9分；③供应商针对本项目提供的活动排期基本合理，部分贴合河源农业产业和产销对接特点，服务人员基本充足、设备基本齐全，基本能满足采购需求的，得6分；④供应商针对本项目提供的活动排期不合理，未贴合河源农业产业和产销对接特点，服务人员及设备不足，难以满足采购需求的，得3分；⑤未提供相关方案或其他情形的，得0分。</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2410D36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12</w:t>
            </w:r>
          </w:p>
        </w:tc>
      </w:tr>
      <w:tr w14:paraId="15AE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6" w:type="pct"/>
            <w:vMerge w:val="restart"/>
            <w:tcBorders>
              <w:left w:val="single" w:color="auto" w:sz="4" w:space="0"/>
              <w:right w:val="single" w:color="auto" w:sz="4" w:space="0"/>
            </w:tcBorders>
            <w:shd w:val="clear" w:color="auto" w:fill="auto"/>
            <w:noWrap w:val="0"/>
            <w:vAlign w:val="center"/>
          </w:tcPr>
          <w:p w14:paraId="4FE99B3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kern w:val="2"/>
                <w:sz w:val="28"/>
                <w:szCs w:val="28"/>
                <w:lang w:val="en-US" w:eastAsia="zh-CN" w:bidi="ar-SA"/>
              </w:rPr>
            </w:pPr>
            <w:r>
              <w:rPr>
                <w:rFonts w:hint="eastAsia" w:ascii="方正仿宋_GBK" w:hAnsi="方正仿宋_GBK" w:eastAsia="方正仿宋_GBK" w:cs="方正仿宋_GBK"/>
                <w:color w:val="000000"/>
                <w:sz w:val="28"/>
                <w:szCs w:val="28"/>
                <w:lang w:val="en-US" w:eastAsia="zh-CN"/>
              </w:rPr>
              <w:t>1</w:t>
            </w:r>
          </w:p>
        </w:tc>
        <w:tc>
          <w:tcPr>
            <w:tcW w:w="735" w:type="pct"/>
            <w:vMerge w:val="restart"/>
            <w:tcBorders>
              <w:left w:val="single" w:color="auto" w:sz="4" w:space="0"/>
              <w:right w:val="single" w:color="auto" w:sz="4" w:space="0"/>
            </w:tcBorders>
            <w:shd w:val="clear" w:color="auto" w:fill="auto"/>
            <w:noWrap w:val="0"/>
            <w:vAlign w:val="center"/>
          </w:tcPr>
          <w:p w14:paraId="34BB8CF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eastAsia="zh-CN"/>
              </w:rPr>
              <w:t>技术评价</w:t>
            </w:r>
          </w:p>
          <w:p w14:paraId="651F4A0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kern w:val="2"/>
                <w:sz w:val="28"/>
                <w:szCs w:val="28"/>
                <w:lang w:val="en-US" w:eastAsia="zh-CN" w:bidi="ar-SA"/>
              </w:rPr>
            </w:pPr>
            <w:r>
              <w:rPr>
                <w:rFonts w:hint="eastAsia" w:ascii="方正仿宋_GBK" w:hAnsi="方正仿宋_GBK" w:eastAsia="方正仿宋_GBK" w:cs="方正仿宋_GBK"/>
                <w:color w:val="000000"/>
                <w:sz w:val="28"/>
                <w:szCs w:val="28"/>
                <w:lang w:eastAsia="zh-CN"/>
              </w:rPr>
              <w:t>（</w:t>
            </w:r>
            <w:r>
              <w:rPr>
                <w:rFonts w:hint="eastAsia" w:ascii="方正仿宋_GBK" w:hAnsi="方正仿宋_GBK" w:eastAsia="方正仿宋_GBK" w:cs="方正仿宋_GBK"/>
                <w:color w:val="000000"/>
                <w:sz w:val="28"/>
                <w:szCs w:val="28"/>
                <w:lang w:val="en-US" w:eastAsia="zh-CN"/>
              </w:rPr>
              <w:t>60分</w:t>
            </w:r>
            <w:r>
              <w:rPr>
                <w:rFonts w:hint="eastAsia" w:ascii="方正仿宋_GBK" w:hAnsi="方正仿宋_GBK" w:eastAsia="方正仿宋_GBK" w:cs="方正仿宋_GBK"/>
                <w:color w:val="000000"/>
                <w:sz w:val="28"/>
                <w:szCs w:val="28"/>
                <w:lang w:eastAsia="zh-CN"/>
              </w:rPr>
              <w:t>）</w:t>
            </w:r>
          </w:p>
        </w:tc>
        <w:tc>
          <w:tcPr>
            <w:tcW w:w="3450" w:type="pct"/>
            <w:tcBorders>
              <w:top w:val="single" w:color="auto" w:sz="4" w:space="0"/>
              <w:left w:val="single" w:color="auto" w:sz="4" w:space="0"/>
              <w:bottom w:val="single" w:color="auto" w:sz="4" w:space="0"/>
              <w:right w:val="single" w:color="auto" w:sz="4" w:space="0"/>
            </w:tcBorders>
            <w:noWrap w:val="0"/>
            <w:vAlign w:val="center"/>
          </w:tcPr>
          <w:p w14:paraId="5A822959">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eastAsia="zh-CN"/>
              </w:rPr>
              <w:t>根据供应商针对本项目采购需求中宣传推广要求所提供的活动宣传方案（包括但不限于：宣传策略、方式渠道、计划安排等）进行评审：①供应商针对本项目提供的活动宣传方案全面可行，能覆盖线上、线下、传统媒体、新媒体等多种渠道，包括视频、图文等多种宣传方式，宣传策略新颖可行，能完全满足且优于采购需求的，得12分；②供应商针对本项目提供的活动宣传方案全面且较为可行，能覆盖线上、线下等多种渠道，包括视频、图文等多种宣传方式，宣传策略较为新颖，能满足采购需求的，得9分；③供应商针对本项目提供的活动宣传方案基本可行，宣传渠道不足，宣传方式单一，宣传策略创新性弱，基本能满足采购需求的，得6分；④供应商针对本项目提供的活动宣传方案可行性不足，宣传渠道、宣传方式单一，宣传策略过时，难以满足采购需求的，得3分；⑤未提供相关方案或其他情形的，得0分。</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361AF59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12</w:t>
            </w:r>
          </w:p>
        </w:tc>
      </w:tr>
      <w:tr w14:paraId="109D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6" w:type="pct"/>
            <w:vMerge w:val="continue"/>
            <w:tcBorders>
              <w:left w:val="single" w:color="auto" w:sz="4" w:space="0"/>
              <w:bottom w:val="single" w:color="auto" w:sz="4" w:space="0"/>
              <w:right w:val="single" w:color="auto" w:sz="4" w:space="0"/>
            </w:tcBorders>
            <w:noWrap w:val="0"/>
            <w:vAlign w:val="center"/>
          </w:tcPr>
          <w:p w14:paraId="5859F5A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val="en-US" w:eastAsia="zh-CN"/>
              </w:rPr>
            </w:pPr>
          </w:p>
        </w:tc>
        <w:tc>
          <w:tcPr>
            <w:tcW w:w="735" w:type="pct"/>
            <w:vMerge w:val="continue"/>
            <w:tcBorders>
              <w:left w:val="single" w:color="auto" w:sz="4" w:space="0"/>
              <w:bottom w:val="single" w:color="auto" w:sz="4" w:space="0"/>
              <w:right w:val="single" w:color="auto" w:sz="4" w:space="0"/>
            </w:tcBorders>
            <w:noWrap w:val="0"/>
            <w:vAlign w:val="center"/>
          </w:tcPr>
          <w:p w14:paraId="6053F61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eastAsia="zh-CN"/>
              </w:rPr>
            </w:pPr>
          </w:p>
        </w:tc>
        <w:tc>
          <w:tcPr>
            <w:tcW w:w="3450" w:type="pct"/>
            <w:tcBorders>
              <w:top w:val="single" w:color="auto" w:sz="4" w:space="0"/>
              <w:left w:val="single" w:color="auto" w:sz="4" w:space="0"/>
              <w:bottom w:val="single" w:color="auto" w:sz="4" w:space="0"/>
              <w:right w:val="single" w:color="auto" w:sz="4" w:space="0"/>
            </w:tcBorders>
            <w:noWrap w:val="0"/>
            <w:vAlign w:val="center"/>
          </w:tcPr>
          <w:p w14:paraId="3230F870">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eastAsia="zh-CN"/>
              </w:rPr>
              <w:t>根据供应商针对本项目提供的安全保障方案（包括但不限于：现场秩序维护、安保措施及人伤事件的预防、应对、医疗及善后等方案）进行评审：①供应商具有丰富的活动组织经验，针对本项目提供的秩序维护和安保措施内容全面、措施完善，预判人伤事件考虑周全，有一套行之有效的预防、应对、医疗及善后方案，能完全满足且优于采购需求的，得12分；②供应商具有活动组织经验，针对本项目提供的秩序维护和安保措施都较为完善，预判人伤事件有一套较为科学的预防、应对、医疗及善后方案，能满足采购需求的，得9分；③供应商针对本项目提供的秩序维护和安保措施基本完善，预判人伤事件制定的预防、应对、医疗及善后方案具有一定可行性，基本能满足采购需求的，得6分；④供应商提供了本项目的秩序维护和安保措施，预判人伤事件制定的预防、应对、医疗及善后方案可行性较差，难以满足采购需求的，得3分；⑤未提供相关方案或其他情形的，得0分。</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2924B6A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12</w:t>
            </w:r>
          </w:p>
        </w:tc>
      </w:tr>
      <w:tr w14:paraId="6DAA7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5" w:hRule="atLeast"/>
        </w:trPr>
        <w:tc>
          <w:tcPr>
            <w:tcW w:w="406" w:type="pct"/>
            <w:tcBorders>
              <w:left w:val="single" w:color="auto" w:sz="4" w:space="0"/>
              <w:bottom w:val="single" w:color="auto" w:sz="4" w:space="0"/>
              <w:right w:val="single" w:color="auto" w:sz="4" w:space="0"/>
            </w:tcBorders>
            <w:shd w:val="clear" w:color="auto" w:fill="auto"/>
            <w:noWrap w:val="0"/>
            <w:vAlign w:val="center"/>
          </w:tcPr>
          <w:p w14:paraId="0D891C2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kern w:val="2"/>
                <w:sz w:val="28"/>
                <w:szCs w:val="28"/>
                <w:lang w:val="en-US" w:eastAsia="zh-CN" w:bidi="ar-SA"/>
              </w:rPr>
            </w:pPr>
            <w:r>
              <w:rPr>
                <w:rFonts w:hint="eastAsia" w:ascii="方正仿宋_GBK" w:hAnsi="方正仿宋_GBK" w:eastAsia="方正仿宋_GBK" w:cs="方正仿宋_GBK"/>
                <w:color w:val="000000"/>
                <w:sz w:val="28"/>
                <w:szCs w:val="28"/>
                <w:lang w:val="en-US" w:eastAsia="zh-CN"/>
              </w:rPr>
              <w:t>1</w:t>
            </w:r>
          </w:p>
        </w:tc>
        <w:tc>
          <w:tcPr>
            <w:tcW w:w="735" w:type="pct"/>
            <w:tcBorders>
              <w:left w:val="single" w:color="auto" w:sz="4" w:space="0"/>
              <w:bottom w:val="single" w:color="auto" w:sz="4" w:space="0"/>
              <w:right w:val="single" w:color="auto" w:sz="4" w:space="0"/>
            </w:tcBorders>
            <w:shd w:val="clear" w:color="auto" w:fill="auto"/>
            <w:noWrap w:val="0"/>
            <w:vAlign w:val="center"/>
          </w:tcPr>
          <w:p w14:paraId="0251A21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eastAsia="zh-CN"/>
              </w:rPr>
              <w:t>技术评价</w:t>
            </w:r>
          </w:p>
          <w:p w14:paraId="178BC2A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kern w:val="2"/>
                <w:sz w:val="28"/>
                <w:szCs w:val="28"/>
                <w:lang w:val="en-US" w:eastAsia="zh-CN" w:bidi="ar-SA"/>
              </w:rPr>
            </w:pPr>
            <w:r>
              <w:rPr>
                <w:rFonts w:hint="eastAsia" w:ascii="方正仿宋_GBK" w:hAnsi="方正仿宋_GBK" w:eastAsia="方正仿宋_GBK" w:cs="方正仿宋_GBK"/>
                <w:color w:val="000000"/>
                <w:sz w:val="28"/>
                <w:szCs w:val="28"/>
                <w:lang w:eastAsia="zh-CN"/>
              </w:rPr>
              <w:t>（</w:t>
            </w:r>
            <w:r>
              <w:rPr>
                <w:rFonts w:hint="eastAsia" w:ascii="方正仿宋_GBK" w:hAnsi="方正仿宋_GBK" w:eastAsia="方正仿宋_GBK" w:cs="方正仿宋_GBK"/>
                <w:color w:val="000000"/>
                <w:sz w:val="28"/>
                <w:szCs w:val="28"/>
                <w:lang w:val="en-US" w:eastAsia="zh-CN"/>
              </w:rPr>
              <w:t>60分</w:t>
            </w:r>
            <w:r>
              <w:rPr>
                <w:rFonts w:hint="eastAsia" w:ascii="方正仿宋_GBK" w:hAnsi="方正仿宋_GBK" w:eastAsia="方正仿宋_GBK" w:cs="方正仿宋_GBK"/>
                <w:color w:val="000000"/>
                <w:sz w:val="28"/>
                <w:szCs w:val="28"/>
                <w:lang w:eastAsia="zh-CN"/>
              </w:rPr>
              <w:t>）</w:t>
            </w:r>
          </w:p>
        </w:tc>
        <w:tc>
          <w:tcPr>
            <w:tcW w:w="3450" w:type="pct"/>
            <w:tcBorders>
              <w:top w:val="single" w:color="auto" w:sz="4" w:space="0"/>
              <w:left w:val="single" w:color="auto" w:sz="4" w:space="0"/>
              <w:bottom w:val="single" w:color="auto" w:sz="4" w:space="0"/>
              <w:right w:val="single" w:color="auto" w:sz="4" w:space="0"/>
            </w:tcBorders>
            <w:noWrap w:val="0"/>
            <w:vAlign w:val="center"/>
          </w:tcPr>
          <w:p w14:paraId="48C9C7B9">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eastAsia="zh-CN"/>
              </w:rPr>
              <w:t>根据供应商针对本项目提供的应急方案（包括但不限于：极端天气、突发事件应对方案、项目相关网络热议事件公关方案等）进行评审：①供应商对本项目落实中可能遇到的极端天气、突发事件、网络热议等情况有全面的预判，并制定了成熟可行的应对方案，能多方面、多层次考虑可能出现的公关事件，对事件做出正向的引导，能完全满足且优于采购需求的，得12分；②供应商对本项目落实中可能遇到的极端天气、突发事件、网络热议等情况有较为全面的预判，并制定了较为可行的应对方案，能对公关事件做出正向的引导，能满足采购需求的，得9分；③供应商对本项目落实中可能遇到的极端天气、突发事件、网络热议等情况有一定的预判，并制定了应对方案，对公关事件有制定引导方案，基本能满足采购需求的，得6分；④供应商对本项目落实中可能遇到的极端天气、突发事件、网络热议等情况认识不清晰，应对方案难以实施，对公关事件未制定引导方案，难以满足采购需求的，得3分；⑤未提供相关方案或其他情形的，得0分。</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7D9CCD9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12</w:t>
            </w:r>
          </w:p>
        </w:tc>
      </w:tr>
      <w:tr w14:paraId="62ED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trPr>
        <w:tc>
          <w:tcPr>
            <w:tcW w:w="406" w:type="pct"/>
            <w:vMerge w:val="restart"/>
            <w:tcBorders>
              <w:top w:val="single" w:color="auto" w:sz="4" w:space="0"/>
              <w:left w:val="single" w:color="auto" w:sz="4" w:space="0"/>
              <w:right w:val="single" w:color="auto" w:sz="4" w:space="0"/>
            </w:tcBorders>
            <w:noWrap w:val="0"/>
            <w:vAlign w:val="center"/>
          </w:tcPr>
          <w:p w14:paraId="01EE7FC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2</w:t>
            </w:r>
          </w:p>
        </w:tc>
        <w:tc>
          <w:tcPr>
            <w:tcW w:w="735" w:type="pct"/>
            <w:vMerge w:val="restart"/>
            <w:tcBorders>
              <w:top w:val="single" w:color="auto" w:sz="4" w:space="0"/>
              <w:left w:val="single" w:color="auto" w:sz="4" w:space="0"/>
              <w:right w:val="single" w:color="auto" w:sz="4" w:space="0"/>
            </w:tcBorders>
            <w:noWrap w:val="0"/>
            <w:vAlign w:val="center"/>
          </w:tcPr>
          <w:p w14:paraId="7BBC08F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eastAsia="zh-CN"/>
              </w:rPr>
              <w:t>商务评价</w:t>
            </w:r>
          </w:p>
          <w:p w14:paraId="2B3D5FC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eastAsia="zh-CN"/>
              </w:rPr>
              <w:t>（</w:t>
            </w:r>
            <w:r>
              <w:rPr>
                <w:rFonts w:hint="eastAsia" w:ascii="方正仿宋_GBK" w:hAnsi="方正仿宋_GBK" w:eastAsia="方正仿宋_GBK" w:cs="方正仿宋_GBK"/>
                <w:color w:val="000000"/>
                <w:sz w:val="28"/>
                <w:szCs w:val="28"/>
                <w:lang w:val="en-US" w:eastAsia="zh-CN"/>
              </w:rPr>
              <w:t>30分</w:t>
            </w:r>
            <w:r>
              <w:rPr>
                <w:rFonts w:hint="eastAsia" w:ascii="方正仿宋_GBK" w:hAnsi="方正仿宋_GBK" w:eastAsia="方正仿宋_GBK" w:cs="方正仿宋_GBK"/>
                <w:color w:val="000000"/>
                <w:sz w:val="28"/>
                <w:szCs w:val="28"/>
                <w:lang w:eastAsia="zh-CN"/>
              </w:rPr>
              <w:t>）</w:t>
            </w:r>
          </w:p>
        </w:tc>
        <w:tc>
          <w:tcPr>
            <w:tcW w:w="3450" w:type="pct"/>
            <w:tcBorders>
              <w:top w:val="single" w:color="auto" w:sz="4" w:space="0"/>
              <w:left w:val="single" w:color="auto" w:sz="4" w:space="0"/>
              <w:bottom w:val="single" w:color="auto" w:sz="4" w:space="0"/>
              <w:right w:val="single" w:color="auto" w:sz="4" w:space="0"/>
            </w:tcBorders>
            <w:noWrap w:val="0"/>
            <w:vAlign w:val="center"/>
          </w:tcPr>
          <w:p w14:paraId="353F80FA">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根据供应商提供自2022年以来承接政府机关、企事业单位，以及民营企业等同类业绩项目（“境内外展销推广活动”“农产品市场推广活动”等）进行评审。每提供一项得2分，最高得10分。</w:t>
            </w:r>
          </w:p>
          <w:p w14:paraId="77D521D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val="en-US" w:eastAsia="zh-CN"/>
              </w:rPr>
              <w:t>注：须提供合同复印件加盖供应商公章，时间按合同签订时间为准，不提供不得分。</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03E2D17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10</w:t>
            </w:r>
          </w:p>
        </w:tc>
      </w:tr>
      <w:tr w14:paraId="54CEF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406" w:type="pct"/>
            <w:vMerge w:val="continue"/>
            <w:tcBorders>
              <w:left w:val="single" w:color="auto" w:sz="4" w:space="0"/>
              <w:right w:val="single" w:color="auto" w:sz="4" w:space="0"/>
            </w:tcBorders>
            <w:shd w:val="clear" w:color="auto" w:fill="auto"/>
            <w:noWrap w:val="0"/>
            <w:vAlign w:val="center"/>
          </w:tcPr>
          <w:p w14:paraId="7E54AAB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val="en-US" w:eastAsia="zh-CN"/>
              </w:rPr>
            </w:pPr>
          </w:p>
        </w:tc>
        <w:tc>
          <w:tcPr>
            <w:tcW w:w="735" w:type="pct"/>
            <w:vMerge w:val="continue"/>
            <w:tcBorders>
              <w:left w:val="single" w:color="auto" w:sz="4" w:space="0"/>
              <w:right w:val="single" w:color="auto" w:sz="4" w:space="0"/>
            </w:tcBorders>
            <w:shd w:val="clear" w:color="auto" w:fill="auto"/>
            <w:noWrap w:val="0"/>
            <w:vAlign w:val="center"/>
          </w:tcPr>
          <w:p w14:paraId="70204F8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val="en-US" w:eastAsia="zh-CN"/>
              </w:rPr>
            </w:pPr>
          </w:p>
        </w:tc>
        <w:tc>
          <w:tcPr>
            <w:tcW w:w="345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CBB6831">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根据供应商拟投入的本项目服务团队人员情况进行评审。每提供1名具有专科或以上学历，且拥有相关活动策划、组织或执行经验的服务人员得3分，最高得15分。</w:t>
            </w:r>
          </w:p>
          <w:p w14:paraId="47B92E5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注：须提供服务团队成员学历证书、截止至开标当月（不含）前6个月任意1个月供应商为其购买的社会保险证明材料、带有人名和项目概况的证明文件。以上三类文件均需加盖供应商公章，不提供不得分。评审小组有权要求供应商现场出示上述材料原件核对，无法提供原件佐证的，本项不予得分。</w:t>
            </w:r>
          </w:p>
        </w:tc>
        <w:tc>
          <w:tcPr>
            <w:tcW w:w="40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6BB0B5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highlight w:val="none"/>
                <w:lang w:val="en-US" w:eastAsia="zh-CN"/>
              </w:rPr>
            </w:pPr>
            <w:r>
              <w:rPr>
                <w:rFonts w:hint="eastAsia" w:ascii="方正仿宋_GBK" w:hAnsi="方正仿宋_GBK" w:eastAsia="方正仿宋_GBK" w:cs="方正仿宋_GBK"/>
                <w:color w:val="000000"/>
                <w:sz w:val="28"/>
                <w:szCs w:val="28"/>
                <w:highlight w:val="none"/>
                <w:lang w:val="en-US" w:eastAsia="zh-CN"/>
              </w:rPr>
              <w:t>15</w:t>
            </w:r>
          </w:p>
        </w:tc>
      </w:tr>
      <w:tr w14:paraId="3112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CA9557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kern w:val="2"/>
                <w:sz w:val="28"/>
                <w:szCs w:val="28"/>
                <w:lang w:val="en-US" w:eastAsia="zh-CN" w:bidi="ar-SA"/>
              </w:rPr>
            </w:pPr>
            <w:r>
              <w:rPr>
                <w:rFonts w:hint="eastAsia" w:ascii="方正仿宋_GBK" w:hAnsi="方正仿宋_GBK" w:eastAsia="方正仿宋_GBK" w:cs="方正仿宋_GBK"/>
                <w:color w:val="000000"/>
                <w:sz w:val="28"/>
                <w:szCs w:val="28"/>
                <w:lang w:val="en-US" w:eastAsia="zh-CN"/>
              </w:rPr>
              <w:t>2</w:t>
            </w:r>
          </w:p>
        </w:tc>
        <w:tc>
          <w:tcPr>
            <w:tcW w:w="73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00962C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eastAsia="zh-CN"/>
              </w:rPr>
              <w:t>商务评价</w:t>
            </w:r>
          </w:p>
          <w:p w14:paraId="76A27B6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kern w:val="2"/>
                <w:sz w:val="28"/>
                <w:szCs w:val="28"/>
                <w:lang w:val="en-US" w:eastAsia="zh-CN" w:bidi="ar-SA"/>
              </w:rPr>
            </w:pPr>
            <w:r>
              <w:rPr>
                <w:rFonts w:hint="eastAsia" w:ascii="方正仿宋_GBK" w:hAnsi="方正仿宋_GBK" w:eastAsia="方正仿宋_GBK" w:cs="方正仿宋_GBK"/>
                <w:color w:val="000000"/>
                <w:sz w:val="28"/>
                <w:szCs w:val="28"/>
                <w:lang w:eastAsia="zh-CN"/>
              </w:rPr>
              <w:t>（</w:t>
            </w:r>
            <w:r>
              <w:rPr>
                <w:rFonts w:hint="eastAsia" w:ascii="方正仿宋_GBK" w:hAnsi="方正仿宋_GBK" w:eastAsia="方正仿宋_GBK" w:cs="方正仿宋_GBK"/>
                <w:color w:val="000000"/>
                <w:sz w:val="28"/>
                <w:szCs w:val="28"/>
                <w:lang w:val="en-US" w:eastAsia="zh-CN"/>
              </w:rPr>
              <w:t>30分</w:t>
            </w:r>
            <w:r>
              <w:rPr>
                <w:rFonts w:hint="eastAsia" w:ascii="方正仿宋_GBK" w:hAnsi="方正仿宋_GBK" w:eastAsia="方正仿宋_GBK" w:cs="方正仿宋_GBK"/>
                <w:color w:val="000000"/>
                <w:sz w:val="28"/>
                <w:szCs w:val="28"/>
                <w:lang w:eastAsia="zh-CN"/>
              </w:rPr>
              <w:t>）</w:t>
            </w:r>
          </w:p>
        </w:tc>
        <w:tc>
          <w:tcPr>
            <w:tcW w:w="3450" w:type="pct"/>
            <w:tcBorders>
              <w:top w:val="single" w:color="auto" w:sz="4" w:space="0"/>
              <w:left w:val="single" w:color="auto" w:sz="4" w:space="0"/>
              <w:bottom w:val="single" w:color="auto" w:sz="4" w:space="0"/>
              <w:right w:val="single" w:color="auto" w:sz="4" w:space="0"/>
            </w:tcBorders>
            <w:noWrap w:val="0"/>
            <w:vAlign w:val="center"/>
          </w:tcPr>
          <w:p w14:paraId="29A5D701">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lang w:val="en-US" w:eastAsia="zh-CN"/>
              </w:rPr>
              <w:t>根据供应商提供的紧急响应承诺（不含活动当天）进行评审：①供应商承诺在接到采购人紧急电话时1小时内到达采购人指定地点的，得5分。②供应商承诺在接到采购人紧急电话时1小时（不含）至2小时（含）到达采购人指定地点的，得3分。③供应商承诺在接到采购人紧急电话时2小时（不含）至3小时（含）到达采购人指定地点的，得1分。④其他时间不得分。注：供应商须提供承诺函加盖供应商公章，承诺函格式自拟。</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706D507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highlight w:val="none"/>
                <w:lang w:val="en-US" w:eastAsia="zh-CN"/>
              </w:rPr>
              <w:t>5</w:t>
            </w:r>
          </w:p>
        </w:tc>
      </w:tr>
      <w:tr w14:paraId="7321D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6" w:type="pct"/>
            <w:tcBorders>
              <w:top w:val="single" w:color="auto" w:sz="4" w:space="0"/>
              <w:left w:val="single" w:color="auto" w:sz="4" w:space="0"/>
              <w:bottom w:val="single" w:color="auto" w:sz="4" w:space="0"/>
              <w:right w:val="single" w:color="auto" w:sz="4" w:space="0"/>
            </w:tcBorders>
            <w:noWrap w:val="0"/>
            <w:vAlign w:val="center"/>
          </w:tcPr>
          <w:p w14:paraId="73D7898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3</w:t>
            </w:r>
          </w:p>
        </w:tc>
        <w:tc>
          <w:tcPr>
            <w:tcW w:w="735" w:type="pct"/>
            <w:tcBorders>
              <w:top w:val="single" w:color="auto" w:sz="4" w:space="0"/>
              <w:left w:val="single" w:color="auto" w:sz="4" w:space="0"/>
              <w:bottom w:val="single" w:color="auto" w:sz="4" w:space="0"/>
              <w:right w:val="single" w:color="auto" w:sz="4" w:space="0"/>
            </w:tcBorders>
            <w:noWrap w:val="0"/>
            <w:vAlign w:val="center"/>
          </w:tcPr>
          <w:p w14:paraId="2797118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eastAsia="zh-CN"/>
              </w:rPr>
              <w:t>价格评估</w:t>
            </w:r>
          </w:p>
          <w:p w14:paraId="30AF751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eastAsia="zh-CN"/>
              </w:rPr>
              <w:t>（</w:t>
            </w:r>
            <w:r>
              <w:rPr>
                <w:rFonts w:hint="eastAsia" w:ascii="方正仿宋_GBK" w:hAnsi="方正仿宋_GBK" w:eastAsia="方正仿宋_GBK" w:cs="方正仿宋_GBK"/>
                <w:color w:val="000000"/>
                <w:sz w:val="28"/>
                <w:szCs w:val="28"/>
                <w:lang w:val="en-US" w:eastAsia="zh-CN"/>
              </w:rPr>
              <w:t>10分</w:t>
            </w:r>
            <w:r>
              <w:rPr>
                <w:rFonts w:hint="eastAsia" w:ascii="方正仿宋_GBK" w:hAnsi="方正仿宋_GBK" w:eastAsia="方正仿宋_GBK" w:cs="方正仿宋_GBK"/>
                <w:color w:val="000000"/>
                <w:sz w:val="28"/>
                <w:szCs w:val="28"/>
                <w:lang w:eastAsia="zh-CN"/>
              </w:rPr>
              <w:t>）</w:t>
            </w:r>
          </w:p>
        </w:tc>
        <w:tc>
          <w:tcPr>
            <w:tcW w:w="3450" w:type="pct"/>
            <w:tcBorders>
              <w:top w:val="single" w:color="auto" w:sz="4" w:space="0"/>
              <w:left w:val="single" w:color="auto" w:sz="4" w:space="0"/>
              <w:bottom w:val="single" w:color="auto" w:sz="4" w:space="0"/>
              <w:right w:val="single" w:color="auto" w:sz="4" w:space="0"/>
            </w:tcBorders>
            <w:noWrap w:val="0"/>
            <w:vAlign w:val="center"/>
          </w:tcPr>
          <w:p w14:paraId="671A3B98">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rPr>
              <w:t>价格评估得分采用低价优先法计算，即通过资格性、符合性且响应价格最低的响应报价为评标基准价，其价格评估得分为满分；其他供应商的价格评估得分统一按照下列公式计算：价格评估得分=（评标基准价÷响应报价）×价格评估满分。</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0260F6F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10</w:t>
            </w:r>
          </w:p>
        </w:tc>
      </w:tr>
    </w:tbl>
    <w:p w14:paraId="7180A9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color w:val="000000"/>
          <w:kern w:val="2"/>
          <w:sz w:val="32"/>
          <w:szCs w:val="32"/>
          <w:lang w:val="en-US" w:eastAsia="zh-CN" w:bidi="ar-SA"/>
        </w:rPr>
      </w:pPr>
      <w:r>
        <w:rPr>
          <w:rFonts w:hint="eastAsia" w:ascii="方正黑体_GBK" w:hAnsi="方正黑体_GBK" w:eastAsia="方正黑体_GBK" w:cs="方正黑体_GBK"/>
          <w:b w:val="0"/>
          <w:bCs w:val="0"/>
          <w:color w:val="000000"/>
          <w:kern w:val="2"/>
          <w:sz w:val="32"/>
          <w:szCs w:val="32"/>
          <w:lang w:val="en-US" w:eastAsia="zh-CN" w:bidi="ar-SA"/>
        </w:rPr>
        <w:t>五、评审结果公示</w:t>
      </w:r>
    </w:p>
    <w:p w14:paraId="4036CDD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color w:val="000000"/>
          <w:kern w:val="2"/>
          <w:sz w:val="32"/>
          <w:szCs w:val="32"/>
          <w:lang w:val="en-US" w:eastAsia="zh-CN" w:bidi="ar-SA"/>
        </w:rPr>
      </w:pPr>
      <w:r>
        <w:rPr>
          <w:rFonts w:hint="eastAsia" w:ascii="方正仿宋_GBK" w:hAnsi="方正仿宋_GBK" w:eastAsia="方正仿宋_GBK" w:cs="方正仿宋_GBK"/>
          <w:color w:val="000000"/>
          <w:kern w:val="2"/>
          <w:sz w:val="32"/>
          <w:szCs w:val="32"/>
          <w:lang w:val="en-US" w:eastAsia="zh-CN" w:bidi="ar-SA"/>
        </w:rPr>
        <w:t>评审结果在河源市政府门</w:t>
      </w:r>
      <w:r>
        <w:rPr>
          <w:rFonts w:hint="eastAsia" w:ascii="方正仿宋_GBK" w:hAnsi="方正仿宋_GBK" w:eastAsia="方正仿宋_GBK" w:cs="方正仿宋_GBK"/>
          <w:color w:val="000000"/>
          <w:kern w:val="2"/>
          <w:sz w:val="32"/>
          <w:szCs w:val="32"/>
          <w:highlight w:val="none"/>
          <w:lang w:val="en-US" w:eastAsia="zh-CN" w:bidi="ar-SA"/>
        </w:rPr>
        <w:t>户网站河源市农业农村局部门频</w:t>
      </w:r>
      <w:r>
        <w:rPr>
          <w:rFonts w:hint="eastAsia" w:ascii="方正仿宋_GBK" w:hAnsi="方正仿宋_GBK" w:eastAsia="方正仿宋_GBK" w:cs="方正仿宋_GBK"/>
          <w:color w:val="000000"/>
          <w:kern w:val="2"/>
          <w:sz w:val="32"/>
          <w:szCs w:val="32"/>
          <w:lang w:val="en-US" w:eastAsia="zh-CN" w:bidi="ar-SA"/>
        </w:rPr>
        <w:t>道公示3个工作日。</w:t>
      </w:r>
    </w:p>
    <w:p w14:paraId="3C19A9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000000"/>
          <w:sz w:val="32"/>
          <w:szCs w:val="32"/>
          <w:lang w:val="en-US" w:eastAsia="zh-CN"/>
        </w:rPr>
      </w:pPr>
    </w:p>
    <w:p w14:paraId="517F8763">
      <w:pPr>
        <w:rPr>
          <w:rFonts w:hint="eastAsia" w:ascii="仿宋_GB2312" w:hAnsi="仿宋_GB2312" w:eastAsia="仿宋_GB2312" w:cs="仿宋_GB2312"/>
          <w:color w:val="000000"/>
          <w:sz w:val="32"/>
          <w:szCs w:val="32"/>
          <w:lang w:val="en-US" w:eastAsia="zh-CN"/>
        </w:rPr>
      </w:pPr>
      <w:bookmarkStart w:id="0" w:name="_GoBack"/>
      <w:bookmarkEnd w:id="0"/>
    </w:p>
    <w:sectPr>
      <w:footerReference r:id="rId3" w:type="default"/>
      <w:pgSz w:w="11906" w:h="16838"/>
      <w:pgMar w:top="1701" w:right="1474" w:bottom="1587" w:left="1587" w:header="720" w:footer="720"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iberation Sans">
    <w:altName w:val="微软雅黑"/>
    <w:panose1 w:val="00000000000000000000"/>
    <w:charset w:val="00"/>
    <w:family w:val="swiss"/>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Noto Sans CJK SC Regular">
    <w:altName w:val="宋体"/>
    <w:panose1 w:val="020B0500000000000000"/>
    <w:charset w:val="86"/>
    <w:family w:val="auto"/>
    <w:pitch w:val="default"/>
    <w:sig w:usb0="00000000" w:usb1="00000000" w:usb2="00000016" w:usb3="00000000" w:csb0="602E0107"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42D4D">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D9AD57">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0BD9AD57">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D1C78"/>
    <w:rsid w:val="05421D93"/>
    <w:rsid w:val="054B32F0"/>
    <w:rsid w:val="05C71188"/>
    <w:rsid w:val="06365387"/>
    <w:rsid w:val="07B552B2"/>
    <w:rsid w:val="0A225CB5"/>
    <w:rsid w:val="0A583185"/>
    <w:rsid w:val="0DDB6CCF"/>
    <w:rsid w:val="0E3F43C5"/>
    <w:rsid w:val="0E5C5A3F"/>
    <w:rsid w:val="114C4FD2"/>
    <w:rsid w:val="12045618"/>
    <w:rsid w:val="134F26C3"/>
    <w:rsid w:val="1407271C"/>
    <w:rsid w:val="1453584B"/>
    <w:rsid w:val="14B17AD7"/>
    <w:rsid w:val="16903271"/>
    <w:rsid w:val="181C1DFA"/>
    <w:rsid w:val="199E584E"/>
    <w:rsid w:val="1AA82DF1"/>
    <w:rsid w:val="1B9B5517"/>
    <w:rsid w:val="1C814E6F"/>
    <w:rsid w:val="1CA53161"/>
    <w:rsid w:val="1E4B0B62"/>
    <w:rsid w:val="207D3DD5"/>
    <w:rsid w:val="21274A8D"/>
    <w:rsid w:val="241A06A0"/>
    <w:rsid w:val="24BA4B4F"/>
    <w:rsid w:val="250E67D7"/>
    <w:rsid w:val="252B1001"/>
    <w:rsid w:val="256242E5"/>
    <w:rsid w:val="28873CA2"/>
    <w:rsid w:val="29406171"/>
    <w:rsid w:val="2A2239F9"/>
    <w:rsid w:val="2BD56553"/>
    <w:rsid w:val="2E102014"/>
    <w:rsid w:val="2EDC78F6"/>
    <w:rsid w:val="30030473"/>
    <w:rsid w:val="30CC33FB"/>
    <w:rsid w:val="31345CFA"/>
    <w:rsid w:val="333B5B1E"/>
    <w:rsid w:val="33904807"/>
    <w:rsid w:val="33AF5E03"/>
    <w:rsid w:val="35387F2F"/>
    <w:rsid w:val="36B7D806"/>
    <w:rsid w:val="37215DAE"/>
    <w:rsid w:val="374F4491"/>
    <w:rsid w:val="3781466B"/>
    <w:rsid w:val="38FA6787"/>
    <w:rsid w:val="3B331317"/>
    <w:rsid w:val="3BEC625F"/>
    <w:rsid w:val="3D9EC9DC"/>
    <w:rsid w:val="3DF9425C"/>
    <w:rsid w:val="3E740EBA"/>
    <w:rsid w:val="3EB709F3"/>
    <w:rsid w:val="3F135889"/>
    <w:rsid w:val="3FF41FB0"/>
    <w:rsid w:val="407F255D"/>
    <w:rsid w:val="409E13A8"/>
    <w:rsid w:val="40D4197F"/>
    <w:rsid w:val="433C5CF2"/>
    <w:rsid w:val="44A83C31"/>
    <w:rsid w:val="47B3723E"/>
    <w:rsid w:val="47CA38F8"/>
    <w:rsid w:val="48861F15"/>
    <w:rsid w:val="48A72C1A"/>
    <w:rsid w:val="48F07DB8"/>
    <w:rsid w:val="49384272"/>
    <w:rsid w:val="4B1F5E4F"/>
    <w:rsid w:val="4BEB161D"/>
    <w:rsid w:val="4C117217"/>
    <w:rsid w:val="4D3674C5"/>
    <w:rsid w:val="4DE33966"/>
    <w:rsid w:val="4EC201C3"/>
    <w:rsid w:val="4FAA3CEB"/>
    <w:rsid w:val="4FDBCF80"/>
    <w:rsid w:val="503C71E1"/>
    <w:rsid w:val="5109336B"/>
    <w:rsid w:val="52F04324"/>
    <w:rsid w:val="53381997"/>
    <w:rsid w:val="55C622A8"/>
    <w:rsid w:val="57013842"/>
    <w:rsid w:val="59430AD8"/>
    <w:rsid w:val="59A43D8B"/>
    <w:rsid w:val="5AFE5B0C"/>
    <w:rsid w:val="5B706967"/>
    <w:rsid w:val="5BBF5201"/>
    <w:rsid w:val="5BED85B5"/>
    <w:rsid w:val="5CC62AC2"/>
    <w:rsid w:val="5EAD2E69"/>
    <w:rsid w:val="5F4408D8"/>
    <w:rsid w:val="5F7408C2"/>
    <w:rsid w:val="5FD3291C"/>
    <w:rsid w:val="604F09E7"/>
    <w:rsid w:val="613C1835"/>
    <w:rsid w:val="621864C0"/>
    <w:rsid w:val="628E007B"/>
    <w:rsid w:val="629A1170"/>
    <w:rsid w:val="63283C1D"/>
    <w:rsid w:val="650D3C56"/>
    <w:rsid w:val="652667D3"/>
    <w:rsid w:val="65D26342"/>
    <w:rsid w:val="65F26A72"/>
    <w:rsid w:val="680E29DE"/>
    <w:rsid w:val="687952FC"/>
    <w:rsid w:val="6A5C2214"/>
    <w:rsid w:val="6B7F5FEF"/>
    <w:rsid w:val="6BFF0507"/>
    <w:rsid w:val="6EFFB8FD"/>
    <w:rsid w:val="6F3283CB"/>
    <w:rsid w:val="6F8D53F9"/>
    <w:rsid w:val="6FA710FE"/>
    <w:rsid w:val="6FF77771"/>
    <w:rsid w:val="71FEDB44"/>
    <w:rsid w:val="73DEDD23"/>
    <w:rsid w:val="742028FA"/>
    <w:rsid w:val="75321A53"/>
    <w:rsid w:val="75FF09C7"/>
    <w:rsid w:val="76FF9AB9"/>
    <w:rsid w:val="78FF5F8F"/>
    <w:rsid w:val="792E3A63"/>
    <w:rsid w:val="794A56E3"/>
    <w:rsid w:val="7A6A7A61"/>
    <w:rsid w:val="7AE32573"/>
    <w:rsid w:val="7BB104F0"/>
    <w:rsid w:val="7BF6F7B6"/>
    <w:rsid w:val="7D6F1EB2"/>
    <w:rsid w:val="7DBF9061"/>
    <w:rsid w:val="7DFFC7C5"/>
    <w:rsid w:val="7F5E2BDA"/>
    <w:rsid w:val="7F5EB1FD"/>
    <w:rsid w:val="7FAF4DA5"/>
    <w:rsid w:val="7FBBD71B"/>
    <w:rsid w:val="7FED1D02"/>
    <w:rsid w:val="7FEF7E38"/>
    <w:rsid w:val="7FF821C9"/>
    <w:rsid w:val="7FFE8253"/>
    <w:rsid w:val="7FFFA7A8"/>
    <w:rsid w:val="8FEE9B15"/>
    <w:rsid w:val="97EFC89C"/>
    <w:rsid w:val="9F1FCEF8"/>
    <w:rsid w:val="9FBF4E91"/>
    <w:rsid w:val="ACDFF1D8"/>
    <w:rsid w:val="AEBD8736"/>
    <w:rsid w:val="AEFFACD5"/>
    <w:rsid w:val="B7CDCD37"/>
    <w:rsid w:val="BDECAE91"/>
    <w:rsid w:val="BE7FF53E"/>
    <w:rsid w:val="BED771D6"/>
    <w:rsid w:val="BFBE9913"/>
    <w:rsid w:val="BFBFBEE6"/>
    <w:rsid w:val="C77D9EBD"/>
    <w:rsid w:val="CB9D8498"/>
    <w:rsid w:val="CC367A29"/>
    <w:rsid w:val="CCE78524"/>
    <w:rsid w:val="D167FFD5"/>
    <w:rsid w:val="D9EFE055"/>
    <w:rsid w:val="E77BE298"/>
    <w:rsid w:val="EF1550E5"/>
    <w:rsid w:val="EF7BAF8F"/>
    <w:rsid w:val="EFF60461"/>
    <w:rsid w:val="F1FFBB0E"/>
    <w:rsid w:val="F3DCE8B4"/>
    <w:rsid w:val="F5DF7DEB"/>
    <w:rsid w:val="F5F7B6B0"/>
    <w:rsid w:val="F5FF2D25"/>
    <w:rsid w:val="F62F49E3"/>
    <w:rsid w:val="F77BCC7C"/>
    <w:rsid w:val="F9EBADC8"/>
    <w:rsid w:val="FB5F019F"/>
    <w:rsid w:val="FBFDCAEA"/>
    <w:rsid w:val="FC5B5371"/>
    <w:rsid w:val="FCBE38BE"/>
    <w:rsid w:val="FDE32185"/>
    <w:rsid w:val="FE3FB7F3"/>
    <w:rsid w:val="FE99CF61"/>
    <w:rsid w:val="FE9F3398"/>
    <w:rsid w:val="FEFFCF15"/>
    <w:rsid w:val="FF37F96E"/>
    <w:rsid w:val="FF5F0F1C"/>
    <w:rsid w:val="FF7DC816"/>
    <w:rsid w:val="FFABB87D"/>
    <w:rsid w:val="FFBBE8BA"/>
    <w:rsid w:val="FFD58C92"/>
    <w:rsid w:val="FFEE8921"/>
    <w:rsid w:val="FFF2AC5C"/>
    <w:rsid w:val="FFFF47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3"/>
    <w:basedOn w:val="1"/>
    <w:next w:val="1"/>
    <w:qFormat/>
    <w:uiPriority w:val="99"/>
    <w:pPr>
      <w:keepNext/>
      <w:keepLines/>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spacing w:line="360" w:lineRule="auto"/>
      <w:ind w:firstLine="420"/>
      <w:jc w:val="left"/>
    </w:pPr>
  </w:style>
  <w:style w:type="paragraph" w:styleId="4">
    <w:name w:val="caption"/>
    <w:basedOn w:val="1"/>
    <w:qFormat/>
    <w:uiPriority w:val="0"/>
    <w:pPr>
      <w:widowControl w:val="0"/>
      <w:suppressLineNumbers/>
      <w:suppressAutoHyphens/>
      <w:spacing w:before="120" w:after="120"/>
    </w:pPr>
    <w:rPr>
      <w:i/>
      <w:iCs/>
      <w:sz w:val="24"/>
      <w:szCs w:val="24"/>
    </w:rPr>
  </w:style>
  <w:style w:type="paragraph" w:styleId="5">
    <w:name w:val="annotation text"/>
    <w:basedOn w:val="1"/>
    <w:qFormat/>
    <w:uiPriority w:val="0"/>
    <w:pPr>
      <w:jc w:val="left"/>
    </w:pPr>
  </w:style>
  <w:style w:type="paragraph" w:styleId="6">
    <w:name w:val="Body Text"/>
    <w:basedOn w:val="1"/>
    <w:qFormat/>
    <w:uiPriority w:val="0"/>
    <w:pPr>
      <w:spacing w:before="0" w:after="140" w:line="276" w:lineRule="auto"/>
    </w:pPr>
  </w:style>
  <w:style w:type="paragraph" w:styleId="7">
    <w:name w:val="Plain Text"/>
    <w:basedOn w:val="1"/>
    <w:unhideWhenUsed/>
    <w:qFormat/>
    <w:uiPriority w:val="99"/>
    <w:rPr>
      <w:rFonts w:ascii="宋体" w:hAnsi="Courier New"/>
    </w:rPr>
  </w:style>
  <w:style w:type="paragraph" w:styleId="8">
    <w:name w:val="footer"/>
    <w:basedOn w:val="1"/>
    <w:qFormat/>
    <w:uiPriority w:val="0"/>
    <w:pPr>
      <w:tabs>
        <w:tab w:val="center" w:pos="4153"/>
        <w:tab w:val="right" w:pos="8306"/>
      </w:tabs>
      <w:snapToGrid w:val="0"/>
      <w:jc w:val="left"/>
    </w:pPr>
    <w:rPr>
      <w:kern w:val="2"/>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kern w:val="2"/>
      <w:sz w:val="18"/>
      <w:szCs w:val="18"/>
    </w:rPr>
  </w:style>
  <w:style w:type="paragraph" w:styleId="10">
    <w:name w:val="List"/>
    <w:basedOn w:val="6"/>
    <w:qFormat/>
    <w:uiPriority w:val="0"/>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w:basedOn w:val="6"/>
    <w:qFormat/>
    <w:uiPriority w:val="0"/>
    <w:pPr>
      <w:ind w:firstLine="420" w:firstLineChars="100"/>
    </w:pPr>
    <w:rPr>
      <w:rFonts w:ascii="Times New Roman" w:hAnsi="Times New Roman" w:eastAsia="宋体" w:cs="Times New Roman"/>
    </w:rPr>
  </w:style>
  <w:style w:type="character" w:styleId="15">
    <w:name w:val="Strong"/>
    <w:basedOn w:val="14"/>
    <w:qFormat/>
    <w:uiPriority w:val="0"/>
    <w:rPr>
      <w:b/>
    </w:rPr>
  </w:style>
  <w:style w:type="character" w:customStyle="1" w:styleId="16">
    <w:name w:val="默认段落字体1"/>
    <w:qFormat/>
    <w:uiPriority w:val="0"/>
  </w:style>
  <w:style w:type="paragraph" w:customStyle="1" w:styleId="17">
    <w:name w:val="Heading"/>
    <w:basedOn w:val="1"/>
    <w:next w:val="6"/>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8">
    <w:name w:val="Index"/>
    <w:basedOn w:val="1"/>
    <w:qFormat/>
    <w:uiPriority w:val="0"/>
    <w:pPr>
      <w:widowControl w:val="0"/>
      <w:suppressLineNumbers/>
      <w:suppressAutoHyphens/>
    </w:pPr>
  </w:style>
  <w:style w:type="character" w:customStyle="1" w:styleId="19">
    <w:name w:val="NormalCharacter"/>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8234</Words>
  <Characters>9039</Characters>
  <TotalTime>3</TotalTime>
  <ScaleCrop>false</ScaleCrop>
  <LinksUpToDate>false</LinksUpToDate>
  <CharactersWithSpaces>9394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2018-12-11T09:47:00Z</dcterms:created>
  <dc:creator>greatwall</dc:creator>
  <cp:lastModifiedBy>黎鉴文</cp:lastModifiedBy>
  <cp:lastPrinted>2024-11-03T09:00:00Z</cp:lastPrinted>
  <dcterms:modified xsi:type="dcterms:W3CDTF">2026-08-21T09:42:14Z</dcterms:modified>
  <dc:title>第十五届广东现代农业博览会“江门馆”特装服务项目采购公告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1D90F91725A44B588A5AFF37710BFAAA_13</vt:lpwstr>
  </property>
  <property fmtid="{D5CDD505-2E9C-101B-9397-08002B2CF9AE}" pid="4" name="KSOTemplateDocerSaveRecord">
    <vt:lpwstr>eyJoZGlkIjoiY2NkNGQxODY5M2UzMzk0ZmVlYjZmNWRiMGIwYjc4YTgiLCJ1c2VySWQiOiIxNTY4Mjg5OTk2In0=</vt:lpwstr>
  </property>
</Properties>
</file>