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A8048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color w:val="auto"/>
          <w:sz w:val="32"/>
          <w:szCs w:val="32"/>
          <w:lang w:val="en-US" w:eastAsia="zh-CN"/>
        </w:rPr>
        <w:t>附件１</w:t>
      </w:r>
    </w:p>
    <w:p w14:paraId="2222BF5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仿宋_GBK" w:hAnsi="方正仿宋_GBK" w:eastAsia="方正仿宋_GBK" w:cs="方正仿宋_GBK"/>
          <w:color w:val="auto"/>
          <w:sz w:val="32"/>
          <w:szCs w:val="32"/>
          <w:lang w:eastAsia="zh-CN"/>
        </w:rPr>
      </w:pPr>
    </w:p>
    <w:p w14:paraId="5BEC2A1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sz w:val="40"/>
          <w:szCs w:val="40"/>
        </w:rPr>
      </w:pPr>
      <w:r>
        <w:rPr>
          <w:rFonts w:hint="eastAsia" w:ascii="方正小标宋简体" w:hAnsi="方正小标宋简体" w:eastAsia="方正小标宋简体" w:cs="方正小标宋简体"/>
          <w:b w:val="0"/>
          <w:bCs w:val="0"/>
          <w:color w:val="auto"/>
          <w:sz w:val="40"/>
          <w:szCs w:val="40"/>
          <w:lang w:eastAsia="zh-CN"/>
        </w:rPr>
        <w:t>项目技术要求</w:t>
      </w:r>
    </w:p>
    <w:p w14:paraId="04F4FA15">
      <w:pPr>
        <w:bidi w:val="0"/>
        <w:spacing w:line="560" w:lineRule="exact"/>
        <w:rPr>
          <w:rFonts w:hint="eastAsia" w:ascii="方正仿宋_GBK" w:hAnsi="方正仿宋_GBK" w:eastAsia="方正仿宋_GBK" w:cs="方正仿宋_GBK"/>
          <w:color w:val="auto"/>
          <w:sz w:val="32"/>
          <w:szCs w:val="32"/>
        </w:rPr>
      </w:pPr>
    </w:p>
    <w:p w14:paraId="5DA9DEE5">
      <w:pPr>
        <w:pStyle w:val="7"/>
        <w:spacing w:line="560" w:lineRule="exact"/>
        <w:ind w:firstLine="640" w:firstLineChars="200"/>
        <w:rPr>
          <w:rFonts w:hint="eastAsia" w:ascii="方正黑体_GBK" w:hAnsi="方正黑体_GBK" w:eastAsia="方正黑体_GBK" w:cs="方正黑体_GBK"/>
          <w:b w:val="0"/>
          <w:bCs w:val="0"/>
          <w:color w:val="auto"/>
          <w:sz w:val="32"/>
          <w:szCs w:val="32"/>
          <w:lang w:eastAsia="zh-CN"/>
        </w:rPr>
      </w:pPr>
      <w:r>
        <w:rPr>
          <w:rFonts w:hint="eastAsia" w:ascii="方正黑体_GBK" w:hAnsi="方正黑体_GBK" w:eastAsia="方正黑体_GBK" w:cs="方正黑体_GBK"/>
          <w:b w:val="0"/>
          <w:bCs w:val="0"/>
          <w:color w:val="auto"/>
          <w:sz w:val="32"/>
          <w:szCs w:val="32"/>
          <w:lang w:eastAsia="zh-CN"/>
        </w:rPr>
        <w:t>一、项目活动时间和地点</w:t>
      </w:r>
    </w:p>
    <w:p w14:paraId="09E575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b w:val="0"/>
          <w:bCs w:val="0"/>
          <w:color w:val="auto"/>
          <w:sz w:val="32"/>
          <w:szCs w:val="32"/>
          <w:lang w:val="en-US" w:eastAsia="zh-CN"/>
        </w:rPr>
      </w:pPr>
      <w:r>
        <w:rPr>
          <w:rFonts w:hint="eastAsia" w:ascii="方正楷体_GBK" w:hAnsi="方正楷体_GBK" w:eastAsia="方正楷体_GBK" w:cs="方正楷体_GBK"/>
          <w:b w:val="0"/>
          <w:bCs w:val="0"/>
          <w:color w:val="auto"/>
          <w:sz w:val="32"/>
          <w:szCs w:val="32"/>
          <w:lang w:val="en-US" w:eastAsia="zh-CN"/>
        </w:rPr>
        <w:t>（一）马来西亚沙巴同乡会晚宴及沙巴国际博览会</w:t>
      </w:r>
    </w:p>
    <w:p w14:paraId="07823C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时间：</w:t>
      </w:r>
      <w:r>
        <w:rPr>
          <w:rFonts w:hint="eastAsia" w:ascii="方正仿宋_GBK" w:hAnsi="方正仿宋_GBK" w:eastAsia="方正仿宋_GBK" w:cs="方正仿宋_GBK"/>
          <w:color w:val="auto"/>
          <w:kern w:val="0"/>
          <w:sz w:val="32"/>
          <w:szCs w:val="32"/>
          <w:lang w:val="en-US" w:eastAsia="zh-CN" w:bidi="ar"/>
        </w:rPr>
        <w:t>9月3-6日；地点：</w:t>
      </w:r>
      <w:r>
        <w:rPr>
          <w:rFonts w:hint="eastAsia" w:ascii="方正仿宋_GBK" w:hAnsi="方正仿宋_GBK" w:eastAsia="方正仿宋_GBK" w:cs="方正仿宋_GBK"/>
          <w:color w:val="auto"/>
          <w:sz w:val="32"/>
          <w:szCs w:val="32"/>
        </w:rPr>
        <w:t>马来西亚沙巴州亚庇市</w:t>
      </w:r>
      <w:r>
        <w:rPr>
          <w:rFonts w:hint="eastAsia" w:ascii="方正仿宋_GBK" w:hAnsi="方正仿宋_GBK" w:eastAsia="方正仿宋_GBK" w:cs="方正仿宋_GBK"/>
          <w:color w:val="auto"/>
          <w:sz w:val="32"/>
          <w:szCs w:val="32"/>
          <w:lang w:val="en-US" w:eastAsia="zh-CN"/>
        </w:rPr>
        <w:t>。</w:t>
      </w:r>
    </w:p>
    <w:p w14:paraId="06800F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b w:val="0"/>
          <w:bCs w:val="0"/>
          <w:color w:val="auto"/>
          <w:sz w:val="32"/>
          <w:szCs w:val="32"/>
          <w:lang w:val="en-US" w:eastAsia="zh-CN"/>
        </w:rPr>
      </w:pPr>
      <w:r>
        <w:rPr>
          <w:rFonts w:hint="eastAsia" w:ascii="方正楷体_GBK" w:hAnsi="方正楷体_GBK" w:eastAsia="方正楷体_GBK" w:cs="方正楷体_GBK"/>
          <w:b w:val="0"/>
          <w:bCs w:val="0"/>
          <w:color w:val="auto"/>
          <w:sz w:val="32"/>
          <w:szCs w:val="32"/>
          <w:lang w:val="en-US" w:eastAsia="zh-CN"/>
        </w:rPr>
        <w:t>（二）澳门专场推介活动</w:t>
      </w:r>
    </w:p>
    <w:p w14:paraId="5B8AA12F">
      <w:pPr>
        <w:keepNext w:val="0"/>
        <w:keepLines w:val="0"/>
        <w:widowControl/>
        <w:suppressLineNumbers w:val="0"/>
        <w:spacing w:line="560" w:lineRule="exact"/>
        <w:ind w:firstLine="640" w:firstLineChars="200"/>
        <w:jc w:val="left"/>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时间：</w:t>
      </w:r>
      <w:r>
        <w:rPr>
          <w:rFonts w:hint="eastAsia" w:ascii="方正仿宋_GBK" w:hAnsi="方正仿宋_GBK" w:eastAsia="方正仿宋_GBK" w:cs="方正仿宋_GBK"/>
          <w:color w:val="auto"/>
          <w:kern w:val="0"/>
          <w:sz w:val="32"/>
          <w:szCs w:val="32"/>
          <w:lang w:val="en-US" w:eastAsia="zh-CN" w:bidi="ar"/>
        </w:rPr>
        <w:t>9月20日（以澳门同乡会晚宴时间为准）；</w:t>
      </w:r>
      <w:r>
        <w:rPr>
          <w:rFonts w:hint="eastAsia" w:ascii="方正仿宋_GBK" w:hAnsi="方正仿宋_GBK" w:eastAsia="方正仿宋_GBK" w:cs="方正仿宋_GBK"/>
          <w:color w:val="auto"/>
          <w:kern w:val="144"/>
          <w:sz w:val="32"/>
          <w:szCs w:val="32"/>
        </w:rPr>
        <w:t>地点</w:t>
      </w: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lang w:val="en-US" w:eastAsia="zh-CN"/>
        </w:rPr>
        <w:t>澳门特别行政区。</w:t>
      </w:r>
    </w:p>
    <w:p w14:paraId="5C74FEC6">
      <w:pPr>
        <w:pStyle w:val="7"/>
        <w:spacing w:line="560" w:lineRule="exact"/>
        <w:ind w:firstLine="640" w:firstLineChars="200"/>
        <w:rPr>
          <w:rFonts w:hint="eastAsia" w:ascii="方正黑体_GBK" w:hAnsi="方正黑体_GBK" w:eastAsia="方正黑体_GBK" w:cs="方正黑体_GBK"/>
          <w:b w:val="0"/>
          <w:bCs w:val="0"/>
          <w:color w:val="auto"/>
          <w:sz w:val="32"/>
          <w:szCs w:val="32"/>
          <w:lang w:eastAsia="zh-CN"/>
        </w:rPr>
      </w:pPr>
      <w:r>
        <w:rPr>
          <w:rFonts w:hint="eastAsia" w:ascii="方正黑体_GBK" w:hAnsi="方正黑体_GBK" w:eastAsia="方正黑体_GBK" w:cs="方正黑体_GBK"/>
          <w:b w:val="0"/>
          <w:bCs w:val="0"/>
          <w:color w:val="auto"/>
          <w:sz w:val="32"/>
          <w:szCs w:val="32"/>
          <w:lang w:eastAsia="zh-CN"/>
        </w:rPr>
        <w:t>二、项目内容</w:t>
      </w:r>
    </w:p>
    <w:p w14:paraId="0AC771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b w:val="0"/>
          <w:bCs w:val="0"/>
          <w:color w:val="auto"/>
          <w:sz w:val="32"/>
          <w:szCs w:val="32"/>
          <w:lang w:eastAsia="zh-CN"/>
        </w:rPr>
      </w:pPr>
      <w:r>
        <w:rPr>
          <w:rFonts w:hint="eastAsia" w:ascii="方正楷体_GBK" w:hAnsi="方正楷体_GBK" w:eastAsia="方正楷体_GBK" w:cs="方正楷体_GBK"/>
          <w:b w:val="0"/>
          <w:bCs w:val="0"/>
          <w:color w:val="auto"/>
          <w:sz w:val="32"/>
          <w:szCs w:val="32"/>
          <w:lang w:eastAsia="zh-CN"/>
        </w:rPr>
        <w:t>（一）总体服务内容</w:t>
      </w:r>
    </w:p>
    <w:p w14:paraId="25AC18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完成</w:t>
      </w:r>
      <w:r>
        <w:rPr>
          <w:rFonts w:hint="eastAsia" w:ascii="方正仿宋_GBK" w:hAnsi="方正仿宋_GBK" w:eastAsia="方正仿宋_GBK" w:cs="方正仿宋_GBK"/>
          <w:color w:val="auto"/>
          <w:sz w:val="32"/>
          <w:szCs w:val="32"/>
          <w:lang w:bidi="ar"/>
        </w:rPr>
        <w:t>“河源</w:t>
      </w:r>
      <w:r>
        <w:rPr>
          <w:rFonts w:hint="eastAsia" w:ascii="方正仿宋_GBK" w:hAnsi="方正仿宋_GBK" w:eastAsia="方正仿宋_GBK" w:cs="方正仿宋_GBK"/>
          <w:color w:val="auto"/>
          <w:sz w:val="32"/>
          <w:szCs w:val="32"/>
          <w:lang w:val="en-US" w:eastAsia="zh-CN" w:bidi="ar"/>
        </w:rPr>
        <w:t>-</w:t>
      </w:r>
      <w:r>
        <w:rPr>
          <w:rFonts w:hint="eastAsia" w:ascii="方正仿宋_GBK" w:hAnsi="方正仿宋_GBK" w:eastAsia="方正仿宋_GBK" w:cs="方正仿宋_GBK"/>
          <w:color w:val="auto"/>
          <w:sz w:val="32"/>
          <w:szCs w:val="32"/>
          <w:lang w:bidi="ar"/>
        </w:rPr>
        <w:t>沙巴农业及食品产业对接”</w:t>
      </w:r>
      <w:r>
        <w:rPr>
          <w:rFonts w:hint="eastAsia" w:ascii="方正仿宋_GBK" w:hAnsi="方正仿宋_GBK" w:eastAsia="方正仿宋_GBK" w:cs="方正仿宋_GBK"/>
          <w:color w:val="auto"/>
          <w:sz w:val="32"/>
          <w:szCs w:val="32"/>
          <w:lang w:eastAsia="zh-CN" w:bidi="ar"/>
        </w:rPr>
        <w:t>、</w:t>
      </w:r>
      <w:r>
        <w:rPr>
          <w:rFonts w:hint="eastAsia" w:ascii="方正仿宋_GBK" w:hAnsi="方正仿宋_GBK" w:eastAsia="方正仿宋_GBK" w:cs="方正仿宋_GBK"/>
          <w:color w:val="auto"/>
          <w:sz w:val="32"/>
          <w:szCs w:val="32"/>
          <w:lang w:val="en-US" w:eastAsia="zh-CN"/>
        </w:rPr>
        <w:t>第十一届沙巴国际博览会的参展服务</w:t>
      </w:r>
      <w:r>
        <w:rPr>
          <w:rFonts w:hint="eastAsia" w:ascii="方正仿宋_GBK" w:hAnsi="方正仿宋_GBK" w:eastAsia="方正仿宋_GBK" w:cs="方正仿宋_GBK"/>
          <w:color w:val="auto"/>
          <w:sz w:val="32"/>
          <w:szCs w:val="32"/>
        </w:rPr>
        <w:t>，包括但不限于</w:t>
      </w:r>
      <w:r>
        <w:rPr>
          <w:rFonts w:hint="eastAsia" w:ascii="方正仿宋_GBK" w:hAnsi="方正仿宋_GBK" w:eastAsia="方正仿宋_GBK" w:cs="方正仿宋_GBK"/>
          <w:color w:val="auto"/>
          <w:sz w:val="32"/>
          <w:szCs w:val="32"/>
          <w:lang w:eastAsia="zh-CN"/>
        </w:rPr>
        <w:t>场地租赁、现场互动体验、展品运输</w:t>
      </w:r>
      <w:r>
        <w:rPr>
          <w:rFonts w:hint="eastAsia" w:ascii="方正仿宋_GBK" w:hAnsi="方正仿宋_GBK" w:eastAsia="方正仿宋_GBK" w:cs="方正仿宋_GBK"/>
          <w:color w:val="auto"/>
          <w:sz w:val="32"/>
          <w:szCs w:val="32"/>
        </w:rPr>
        <w:t>、展览内容制作、展馆宣传资料设计</w:t>
      </w:r>
      <w:r>
        <w:rPr>
          <w:rFonts w:hint="eastAsia" w:ascii="方正仿宋_GBK" w:hAnsi="方正仿宋_GBK" w:eastAsia="方正仿宋_GBK" w:cs="方正仿宋_GBK"/>
          <w:color w:val="auto"/>
          <w:sz w:val="32"/>
          <w:szCs w:val="32"/>
          <w:lang w:eastAsia="zh-CN"/>
        </w:rPr>
        <w:t>，以及图文视频宣传</w:t>
      </w:r>
      <w:r>
        <w:rPr>
          <w:rFonts w:hint="eastAsia" w:ascii="方正仿宋_GBK" w:hAnsi="方正仿宋_GBK" w:eastAsia="方正仿宋_GBK" w:cs="方正仿宋_GBK"/>
          <w:color w:val="auto"/>
          <w:sz w:val="32"/>
          <w:szCs w:val="32"/>
        </w:rPr>
        <w:t>等。</w:t>
      </w:r>
    </w:p>
    <w:p w14:paraId="131638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b w:val="0"/>
          <w:bCs w:val="0"/>
          <w:color w:val="auto"/>
          <w:sz w:val="32"/>
          <w:szCs w:val="32"/>
          <w:lang w:eastAsia="zh-CN"/>
        </w:rPr>
      </w:pPr>
      <w:r>
        <w:rPr>
          <w:rFonts w:hint="eastAsia" w:ascii="方正楷体_GBK" w:hAnsi="方正楷体_GBK" w:eastAsia="方正楷体_GBK" w:cs="方正楷体_GBK"/>
          <w:b w:val="0"/>
          <w:bCs w:val="0"/>
          <w:color w:val="auto"/>
          <w:sz w:val="32"/>
          <w:szCs w:val="32"/>
          <w:lang w:eastAsia="zh-CN"/>
        </w:rPr>
        <w:t>（二）工作要求</w:t>
      </w:r>
    </w:p>
    <w:tbl>
      <w:tblPr>
        <w:tblStyle w:val="13"/>
        <w:tblW w:w="88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30"/>
        <w:gridCol w:w="1545"/>
        <w:gridCol w:w="6285"/>
      </w:tblGrid>
      <w:tr w14:paraId="7F409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1030" w:type="dxa"/>
            <w:tcBorders>
              <w:top w:val="single" w:color="000000" w:sz="4" w:space="0"/>
              <w:left w:val="single" w:color="000000" w:sz="4" w:space="0"/>
              <w:bottom w:val="single" w:color="000000" w:sz="4" w:space="0"/>
              <w:right w:val="single" w:color="000000" w:sz="4" w:space="0"/>
            </w:tcBorders>
            <w:noWrap/>
            <w:vAlign w:val="center"/>
          </w:tcPr>
          <w:p w14:paraId="6FD80BE9">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仿宋_GBK" w:hAnsi="方正仿宋_GBK" w:eastAsia="方正仿宋_GBK" w:cs="方正仿宋_GBK"/>
                <w:b/>
                <w:bCs w:val="0"/>
                <w:color w:val="auto"/>
                <w:sz w:val="32"/>
                <w:szCs w:val="32"/>
                <w:highlight w:val="none"/>
                <w:lang w:val="en-US" w:eastAsia="zh-CN"/>
              </w:rPr>
            </w:pPr>
            <w:r>
              <w:rPr>
                <w:rFonts w:hint="eastAsia" w:ascii="方正仿宋_GBK" w:hAnsi="方正仿宋_GBK" w:eastAsia="方正仿宋_GBK" w:cs="方正仿宋_GBK"/>
                <w:b/>
                <w:bCs w:val="0"/>
                <w:color w:val="auto"/>
                <w:sz w:val="32"/>
                <w:szCs w:val="32"/>
                <w:highlight w:val="none"/>
                <w:lang w:val="en-US" w:eastAsia="zh-CN"/>
              </w:rPr>
              <w:t>序号</w:t>
            </w:r>
          </w:p>
        </w:tc>
        <w:tc>
          <w:tcPr>
            <w:tcW w:w="1545" w:type="dxa"/>
            <w:tcBorders>
              <w:top w:val="single" w:color="000000" w:sz="4" w:space="0"/>
              <w:left w:val="single" w:color="000000" w:sz="4" w:space="0"/>
              <w:bottom w:val="single" w:color="000000" w:sz="4" w:space="0"/>
              <w:right w:val="single" w:color="auto" w:sz="4" w:space="0"/>
            </w:tcBorders>
            <w:noWrap/>
            <w:vAlign w:val="center"/>
          </w:tcPr>
          <w:p w14:paraId="620B08DA">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仿宋_GBK" w:hAnsi="方正仿宋_GBK" w:eastAsia="方正仿宋_GBK" w:cs="方正仿宋_GBK"/>
                <w:b/>
                <w:bCs w:val="0"/>
                <w:color w:val="auto"/>
                <w:sz w:val="32"/>
                <w:szCs w:val="32"/>
                <w:highlight w:val="none"/>
                <w:lang w:val="en-US" w:eastAsia="zh-CN"/>
              </w:rPr>
            </w:pPr>
            <w:r>
              <w:rPr>
                <w:rFonts w:hint="eastAsia" w:ascii="方正仿宋_GBK" w:hAnsi="方正仿宋_GBK" w:eastAsia="方正仿宋_GBK" w:cs="方正仿宋_GBK"/>
                <w:b/>
                <w:bCs w:val="0"/>
                <w:color w:val="auto"/>
                <w:sz w:val="32"/>
                <w:szCs w:val="32"/>
                <w:highlight w:val="none"/>
                <w:lang w:val="en-US" w:eastAsia="zh-CN"/>
              </w:rPr>
              <w:t>事项</w:t>
            </w:r>
          </w:p>
        </w:tc>
        <w:tc>
          <w:tcPr>
            <w:tcW w:w="6285" w:type="dxa"/>
            <w:tcBorders>
              <w:top w:val="single" w:color="000000" w:sz="4" w:space="0"/>
              <w:left w:val="single" w:color="auto" w:sz="4" w:space="0"/>
              <w:bottom w:val="single" w:color="000000" w:sz="4" w:space="0"/>
              <w:right w:val="single" w:color="000000" w:sz="4" w:space="0"/>
            </w:tcBorders>
            <w:noWrap/>
            <w:vAlign w:val="center"/>
          </w:tcPr>
          <w:p w14:paraId="51E5FA40">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仿宋_GBK" w:hAnsi="方正仿宋_GBK" w:eastAsia="方正仿宋_GBK" w:cs="方正仿宋_GBK"/>
                <w:b/>
                <w:bCs w:val="0"/>
                <w:color w:val="auto"/>
                <w:sz w:val="32"/>
                <w:szCs w:val="32"/>
                <w:highlight w:val="none"/>
                <w:lang w:val="en-US" w:eastAsia="zh-CN"/>
              </w:rPr>
            </w:pPr>
            <w:r>
              <w:rPr>
                <w:rFonts w:hint="eastAsia" w:ascii="方正仿宋_GBK" w:hAnsi="方正仿宋_GBK" w:eastAsia="方正仿宋_GBK" w:cs="方正仿宋_GBK"/>
                <w:b/>
                <w:bCs w:val="0"/>
                <w:color w:val="auto"/>
                <w:sz w:val="32"/>
                <w:szCs w:val="32"/>
                <w:highlight w:val="none"/>
                <w:lang w:val="en-US" w:eastAsia="zh-CN"/>
              </w:rPr>
              <w:t>具体要求</w:t>
            </w:r>
          </w:p>
        </w:tc>
      </w:tr>
      <w:tr w14:paraId="34A9C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0" w:hRule="atLeast"/>
        </w:trPr>
        <w:tc>
          <w:tcPr>
            <w:tcW w:w="1030" w:type="dxa"/>
            <w:tcBorders>
              <w:top w:val="single" w:color="000000" w:sz="4" w:space="0"/>
              <w:left w:val="single" w:color="000000" w:sz="4" w:space="0"/>
              <w:bottom w:val="single" w:color="000000" w:sz="4" w:space="0"/>
              <w:right w:val="single" w:color="000000" w:sz="4" w:space="0"/>
            </w:tcBorders>
            <w:noWrap/>
            <w:vAlign w:val="center"/>
          </w:tcPr>
          <w:p w14:paraId="7754B1EF">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仿宋_GBK" w:hAnsi="方正仿宋_GBK" w:eastAsia="方正仿宋_GBK" w:cs="方正仿宋_GBK"/>
                <w:bCs/>
                <w:color w:val="auto"/>
                <w:sz w:val="32"/>
                <w:szCs w:val="32"/>
                <w:highlight w:val="none"/>
                <w:lang w:val="en-US" w:eastAsia="zh-CN"/>
              </w:rPr>
            </w:pPr>
            <w:r>
              <w:rPr>
                <w:rFonts w:hint="eastAsia" w:ascii="方正仿宋_GBK" w:hAnsi="方正仿宋_GBK" w:eastAsia="方正仿宋_GBK" w:cs="方正仿宋_GBK"/>
                <w:bCs/>
                <w:color w:val="auto"/>
                <w:sz w:val="32"/>
                <w:szCs w:val="32"/>
                <w:highlight w:val="none"/>
                <w:lang w:val="en-US" w:eastAsia="zh-CN"/>
              </w:rPr>
              <w:t>1</w:t>
            </w:r>
          </w:p>
        </w:tc>
        <w:tc>
          <w:tcPr>
            <w:tcW w:w="1545" w:type="dxa"/>
            <w:tcBorders>
              <w:top w:val="single" w:color="000000" w:sz="4" w:space="0"/>
              <w:left w:val="single" w:color="000000" w:sz="4" w:space="0"/>
              <w:bottom w:val="single" w:color="000000" w:sz="4" w:space="0"/>
              <w:right w:val="single" w:color="000000" w:sz="4" w:space="0"/>
            </w:tcBorders>
            <w:noWrap/>
            <w:vAlign w:val="center"/>
          </w:tcPr>
          <w:p w14:paraId="10EFC36D">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方正仿宋_GBK" w:hAnsi="方正仿宋_GBK" w:eastAsia="方正仿宋_GBK" w:cs="方正仿宋_GBK"/>
                <w:bCs/>
                <w:color w:val="auto"/>
                <w:sz w:val="32"/>
                <w:szCs w:val="32"/>
                <w:highlight w:val="none"/>
                <w:lang w:val="en-US" w:eastAsia="zh-CN"/>
              </w:rPr>
            </w:pPr>
            <w:r>
              <w:rPr>
                <w:rFonts w:hint="eastAsia" w:ascii="方正仿宋_GBK" w:hAnsi="方正仿宋_GBK" w:eastAsia="方正仿宋_GBK" w:cs="方正仿宋_GBK"/>
                <w:bCs/>
                <w:color w:val="auto"/>
                <w:sz w:val="32"/>
                <w:szCs w:val="32"/>
                <w:highlight w:val="none"/>
                <w:lang w:val="en-US" w:eastAsia="zh-CN"/>
              </w:rPr>
              <w:t>场地租赁</w:t>
            </w:r>
          </w:p>
        </w:tc>
        <w:tc>
          <w:tcPr>
            <w:tcW w:w="6285" w:type="dxa"/>
            <w:tcBorders>
              <w:top w:val="single" w:color="000000" w:sz="4" w:space="0"/>
              <w:left w:val="single" w:color="000000" w:sz="4" w:space="0"/>
              <w:bottom w:val="single" w:color="000000" w:sz="4" w:space="0"/>
              <w:right w:val="single" w:color="000000" w:sz="4" w:space="0"/>
            </w:tcBorders>
            <w:noWrap w:val="0"/>
            <w:vAlign w:val="center"/>
          </w:tcPr>
          <w:p w14:paraId="27DB75CC">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方正仿宋_GBK" w:hAnsi="方正仿宋_GBK" w:eastAsia="方正仿宋_GBK" w:cs="方正仿宋_GBK"/>
                <w:bCs/>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lang w:val="en-US" w:eastAsia="zh-CN"/>
              </w:rPr>
              <w:t>租赁沙巴国际博览会标准展位1个、澳门活动场地约20㎡（具体以现场实际为准），并对各活动点位进行布置装饰，突出河源农业产业。</w:t>
            </w:r>
          </w:p>
        </w:tc>
      </w:tr>
      <w:tr w14:paraId="00125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5" w:hRule="atLeast"/>
        </w:trPr>
        <w:tc>
          <w:tcPr>
            <w:tcW w:w="1030" w:type="dxa"/>
            <w:tcBorders>
              <w:top w:val="single" w:color="000000" w:sz="4" w:space="0"/>
              <w:left w:val="single" w:color="000000" w:sz="4" w:space="0"/>
              <w:bottom w:val="single" w:color="000000" w:sz="4" w:space="0"/>
              <w:right w:val="single" w:color="000000" w:sz="4" w:space="0"/>
            </w:tcBorders>
            <w:noWrap/>
            <w:vAlign w:val="center"/>
          </w:tcPr>
          <w:p w14:paraId="29C80464">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仿宋_GBK" w:hAnsi="方正仿宋_GBK" w:eastAsia="方正仿宋_GBK" w:cs="方正仿宋_GBK"/>
                <w:bCs/>
                <w:color w:val="auto"/>
                <w:sz w:val="32"/>
                <w:szCs w:val="32"/>
                <w:highlight w:val="none"/>
                <w:lang w:val="en-US" w:eastAsia="zh-CN"/>
              </w:rPr>
            </w:pPr>
            <w:r>
              <w:rPr>
                <w:rFonts w:hint="eastAsia" w:ascii="方正仿宋_GBK" w:hAnsi="方正仿宋_GBK" w:eastAsia="方正仿宋_GBK" w:cs="方正仿宋_GBK"/>
                <w:bCs/>
                <w:color w:val="auto"/>
                <w:sz w:val="32"/>
                <w:szCs w:val="32"/>
                <w:highlight w:val="none"/>
                <w:lang w:val="en-US" w:eastAsia="zh-CN"/>
              </w:rPr>
              <w:t>2</w:t>
            </w:r>
          </w:p>
        </w:tc>
        <w:tc>
          <w:tcPr>
            <w:tcW w:w="1545" w:type="dxa"/>
            <w:tcBorders>
              <w:top w:val="single" w:color="000000" w:sz="4" w:space="0"/>
              <w:left w:val="single" w:color="000000" w:sz="4" w:space="0"/>
              <w:bottom w:val="single" w:color="000000" w:sz="4" w:space="0"/>
              <w:right w:val="single" w:color="000000" w:sz="4" w:space="0"/>
            </w:tcBorders>
            <w:noWrap/>
            <w:vAlign w:val="center"/>
          </w:tcPr>
          <w:p w14:paraId="1D050695">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方正仿宋_GBK" w:hAnsi="方正仿宋_GBK" w:eastAsia="方正仿宋_GBK" w:cs="方正仿宋_GBK"/>
                <w:bCs/>
                <w:color w:val="auto"/>
                <w:sz w:val="32"/>
                <w:szCs w:val="32"/>
                <w:highlight w:val="none"/>
                <w:lang w:val="en-US" w:eastAsia="zh-CN"/>
              </w:rPr>
            </w:pPr>
            <w:r>
              <w:rPr>
                <w:rFonts w:hint="eastAsia" w:ascii="方正仿宋_GBK" w:hAnsi="方正仿宋_GBK" w:eastAsia="方正仿宋_GBK" w:cs="方正仿宋_GBK"/>
                <w:bCs/>
                <w:color w:val="auto"/>
                <w:sz w:val="32"/>
                <w:szCs w:val="32"/>
                <w:highlight w:val="none"/>
                <w:lang w:val="en-US" w:eastAsia="zh-CN"/>
              </w:rPr>
              <w:t>活动组织</w:t>
            </w:r>
          </w:p>
        </w:tc>
        <w:tc>
          <w:tcPr>
            <w:tcW w:w="6285" w:type="dxa"/>
            <w:tcBorders>
              <w:top w:val="single" w:color="000000" w:sz="4" w:space="0"/>
              <w:left w:val="single" w:color="000000" w:sz="4" w:space="0"/>
              <w:bottom w:val="single" w:color="000000" w:sz="4" w:space="0"/>
              <w:right w:val="single" w:color="000000" w:sz="4" w:space="0"/>
            </w:tcBorders>
            <w:noWrap w:val="0"/>
            <w:vAlign w:val="center"/>
          </w:tcPr>
          <w:p w14:paraId="2A0A2E7C">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方正仿宋_GBK" w:hAnsi="方正仿宋_GBK" w:eastAsia="方正仿宋_GBK" w:cs="方正仿宋_GBK"/>
                <w:bCs/>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lang w:val="en-US" w:eastAsia="zh-CN"/>
              </w:rPr>
              <w:t>指导现场活动产品布展，协调参展企业进行展览展示，组织不少于价值3000元的河源市农产品用于现场展示展销，并提供集中运输服务；提供现场执行人员不少于10人，其中沙巴相关活动不少于6人、澳门活动不少于4人，并提供境外人身意外保险。</w:t>
            </w:r>
          </w:p>
        </w:tc>
      </w:tr>
      <w:tr w14:paraId="22D8A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0" w:hRule="atLeast"/>
        </w:trPr>
        <w:tc>
          <w:tcPr>
            <w:tcW w:w="1030" w:type="dxa"/>
            <w:tcBorders>
              <w:top w:val="single" w:color="000000" w:sz="4" w:space="0"/>
              <w:left w:val="single" w:color="000000" w:sz="4" w:space="0"/>
              <w:bottom w:val="single" w:color="000000" w:sz="4" w:space="0"/>
              <w:right w:val="single" w:color="000000" w:sz="4" w:space="0"/>
            </w:tcBorders>
            <w:noWrap/>
            <w:vAlign w:val="center"/>
          </w:tcPr>
          <w:p w14:paraId="2536CDEB">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仿宋_GBK" w:hAnsi="方正仿宋_GBK" w:eastAsia="方正仿宋_GBK" w:cs="方正仿宋_GBK"/>
                <w:bCs/>
                <w:color w:val="auto"/>
                <w:sz w:val="32"/>
                <w:szCs w:val="32"/>
                <w:highlight w:val="none"/>
                <w:lang w:val="en-US" w:eastAsia="zh-CN"/>
              </w:rPr>
            </w:pPr>
            <w:r>
              <w:rPr>
                <w:rFonts w:hint="eastAsia" w:ascii="方正仿宋_GBK" w:hAnsi="方正仿宋_GBK" w:eastAsia="方正仿宋_GBK" w:cs="方正仿宋_GBK"/>
                <w:bCs/>
                <w:color w:val="auto"/>
                <w:sz w:val="32"/>
                <w:szCs w:val="32"/>
                <w:highlight w:val="none"/>
                <w:lang w:val="en-US" w:eastAsia="zh-CN"/>
              </w:rPr>
              <w:t>3</w:t>
            </w:r>
          </w:p>
        </w:tc>
        <w:tc>
          <w:tcPr>
            <w:tcW w:w="1545" w:type="dxa"/>
            <w:tcBorders>
              <w:top w:val="single" w:color="000000" w:sz="4" w:space="0"/>
              <w:left w:val="single" w:color="000000" w:sz="4" w:space="0"/>
              <w:bottom w:val="single" w:color="000000" w:sz="4" w:space="0"/>
              <w:right w:val="single" w:color="000000" w:sz="4" w:space="0"/>
            </w:tcBorders>
            <w:noWrap/>
            <w:vAlign w:val="center"/>
          </w:tcPr>
          <w:p w14:paraId="66E69BF4">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方正仿宋_GBK" w:hAnsi="方正仿宋_GBK" w:eastAsia="方正仿宋_GBK" w:cs="方正仿宋_GBK"/>
                <w:bCs/>
                <w:color w:val="auto"/>
                <w:sz w:val="32"/>
                <w:szCs w:val="32"/>
                <w:highlight w:val="none"/>
                <w:lang w:val="en-US" w:eastAsia="zh-CN"/>
              </w:rPr>
            </w:pPr>
            <w:r>
              <w:rPr>
                <w:rFonts w:hint="eastAsia" w:ascii="方正仿宋_GBK" w:hAnsi="方正仿宋_GBK" w:eastAsia="方正仿宋_GBK" w:cs="方正仿宋_GBK"/>
                <w:bCs/>
                <w:color w:val="auto"/>
                <w:sz w:val="32"/>
                <w:szCs w:val="32"/>
                <w:highlight w:val="none"/>
                <w:lang w:val="en-US" w:eastAsia="zh-CN"/>
              </w:rPr>
              <w:t>宣传推广</w:t>
            </w:r>
          </w:p>
        </w:tc>
        <w:tc>
          <w:tcPr>
            <w:tcW w:w="6285" w:type="dxa"/>
            <w:tcBorders>
              <w:top w:val="single" w:color="000000" w:sz="4" w:space="0"/>
              <w:left w:val="single" w:color="000000" w:sz="4" w:space="0"/>
              <w:bottom w:val="single" w:color="000000" w:sz="4" w:space="0"/>
              <w:right w:val="single" w:color="000000" w:sz="4" w:space="0"/>
            </w:tcBorders>
            <w:noWrap w:val="0"/>
            <w:vAlign w:val="center"/>
          </w:tcPr>
          <w:p w14:paraId="04ED2EA9">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方正仿宋_GBK" w:hAnsi="方正仿宋_GBK" w:eastAsia="方正仿宋_GBK" w:cs="方正仿宋_GBK"/>
                <w:bCs/>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eastAsia="zh-CN"/>
              </w:rPr>
              <w:t>结合活动主题、参展产品及企业信息，设计制作宣传物料，其中</w:t>
            </w:r>
            <w:r>
              <w:rPr>
                <w:rFonts w:hint="eastAsia" w:ascii="方正仿宋_GBK" w:hAnsi="方正仿宋_GBK" w:eastAsia="方正仿宋_GBK" w:cs="方正仿宋_GBK"/>
                <w:b w:val="0"/>
                <w:bCs w:val="0"/>
                <w:color w:val="auto"/>
                <w:sz w:val="32"/>
                <w:szCs w:val="32"/>
                <w:lang w:val="en-US" w:eastAsia="zh-CN"/>
              </w:rPr>
              <w:t>易拉宝不少于8个、展板不少于8块、宣传单不少于2000份；并在活动期间，协调</w:t>
            </w:r>
            <w:r>
              <w:rPr>
                <w:rFonts w:hint="eastAsia" w:ascii="方正仿宋_GBK" w:hAnsi="方正仿宋_GBK" w:eastAsia="方正仿宋_GBK" w:cs="方正仿宋_GBK"/>
                <w:b w:val="0"/>
                <w:bCs w:val="0"/>
                <w:color w:val="auto"/>
                <w:sz w:val="32"/>
                <w:szCs w:val="32"/>
                <w:lang w:val="en" w:eastAsia="zh-CN"/>
              </w:rPr>
              <w:t>不少于</w:t>
            </w:r>
            <w:r>
              <w:rPr>
                <w:rFonts w:hint="eastAsia" w:ascii="方正仿宋_GBK" w:hAnsi="方正仿宋_GBK" w:eastAsia="方正仿宋_GBK" w:cs="方正仿宋_GBK"/>
                <w:b w:val="0"/>
                <w:bCs w:val="0"/>
                <w:color w:val="auto"/>
                <w:sz w:val="32"/>
                <w:szCs w:val="32"/>
                <w:lang w:val="en-US" w:eastAsia="zh-CN"/>
              </w:rPr>
              <w:t>15家媒体宣传</w:t>
            </w:r>
            <w:r>
              <w:rPr>
                <w:rFonts w:hint="eastAsia" w:ascii="方正仿宋_GBK" w:hAnsi="方正仿宋_GBK" w:eastAsia="方正仿宋_GBK" w:cs="方正仿宋_GBK"/>
                <w:b w:val="0"/>
                <w:bCs w:val="0"/>
                <w:color w:val="auto"/>
                <w:sz w:val="32"/>
                <w:szCs w:val="32"/>
                <w:lang w:val="en" w:eastAsia="zh-CN"/>
              </w:rPr>
              <w:t>活动及其相关内容，其中</w:t>
            </w:r>
            <w:r>
              <w:rPr>
                <w:rFonts w:hint="eastAsia" w:ascii="方正仿宋_GBK" w:hAnsi="方正仿宋_GBK" w:eastAsia="方正仿宋_GBK" w:cs="方正仿宋_GBK"/>
                <w:b w:val="0"/>
                <w:bCs w:val="0"/>
                <w:color w:val="auto"/>
                <w:sz w:val="32"/>
                <w:szCs w:val="32"/>
                <w:lang w:val="en-US" w:eastAsia="zh-CN"/>
              </w:rPr>
              <w:t>市级以上主流媒体</w:t>
            </w:r>
            <w:r>
              <w:rPr>
                <w:rFonts w:hint="eastAsia" w:ascii="方正仿宋_GBK" w:hAnsi="方正仿宋_GBK" w:eastAsia="方正仿宋_GBK" w:cs="方正仿宋_GBK"/>
                <w:b w:val="0"/>
                <w:bCs w:val="0"/>
                <w:color w:val="auto"/>
                <w:sz w:val="32"/>
                <w:szCs w:val="32"/>
                <w:lang w:val="en" w:eastAsia="zh-CN"/>
              </w:rPr>
              <w:t>不少于</w:t>
            </w:r>
            <w:r>
              <w:rPr>
                <w:rFonts w:hint="eastAsia" w:ascii="方正仿宋_GBK" w:hAnsi="方正仿宋_GBK" w:eastAsia="方正仿宋_GBK" w:cs="方正仿宋_GBK"/>
                <w:b w:val="0"/>
                <w:bCs w:val="0"/>
                <w:color w:val="auto"/>
                <w:sz w:val="32"/>
                <w:szCs w:val="32"/>
                <w:lang w:val="en-US" w:eastAsia="zh-CN"/>
              </w:rPr>
              <w:t>5家、马来西亚及澳门当地媒体不少于6家、国际新媒体不少于4家；制作并发布宣传短视频（约1分钟）不少于8条。</w:t>
            </w:r>
          </w:p>
        </w:tc>
      </w:tr>
      <w:tr w14:paraId="0EF05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0" w:hRule="atLeast"/>
        </w:trPr>
        <w:tc>
          <w:tcPr>
            <w:tcW w:w="1030" w:type="dxa"/>
            <w:tcBorders>
              <w:top w:val="single" w:color="000000" w:sz="4" w:space="0"/>
              <w:left w:val="single" w:color="000000" w:sz="4" w:space="0"/>
              <w:bottom w:val="single" w:color="000000" w:sz="4" w:space="0"/>
              <w:right w:val="single" w:color="000000" w:sz="4" w:space="0"/>
            </w:tcBorders>
            <w:noWrap/>
            <w:vAlign w:val="center"/>
          </w:tcPr>
          <w:p w14:paraId="43429ECD">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仿宋_GBK" w:hAnsi="方正仿宋_GBK" w:eastAsia="方正仿宋_GBK" w:cs="方正仿宋_GBK"/>
                <w:bCs/>
                <w:color w:val="auto"/>
                <w:sz w:val="32"/>
                <w:szCs w:val="32"/>
                <w:highlight w:val="none"/>
                <w:lang w:val="en-US" w:eastAsia="zh-CN"/>
              </w:rPr>
            </w:pPr>
            <w:r>
              <w:rPr>
                <w:rFonts w:hint="eastAsia" w:ascii="方正仿宋_GBK" w:hAnsi="方正仿宋_GBK" w:eastAsia="方正仿宋_GBK" w:cs="方正仿宋_GBK"/>
                <w:bCs/>
                <w:color w:val="auto"/>
                <w:sz w:val="32"/>
                <w:szCs w:val="32"/>
                <w:highlight w:val="none"/>
                <w:lang w:val="en-US" w:eastAsia="zh-CN"/>
              </w:rPr>
              <w:t>4</w:t>
            </w:r>
          </w:p>
        </w:tc>
        <w:tc>
          <w:tcPr>
            <w:tcW w:w="1545" w:type="dxa"/>
            <w:tcBorders>
              <w:top w:val="single" w:color="000000" w:sz="4" w:space="0"/>
              <w:left w:val="single" w:color="000000" w:sz="4" w:space="0"/>
              <w:bottom w:val="single" w:color="000000" w:sz="4" w:space="0"/>
              <w:right w:val="single" w:color="000000" w:sz="4" w:space="0"/>
            </w:tcBorders>
            <w:noWrap/>
            <w:vAlign w:val="center"/>
          </w:tcPr>
          <w:p w14:paraId="7808D440">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方正仿宋_GBK" w:hAnsi="方正仿宋_GBK" w:eastAsia="方正仿宋_GBK" w:cs="方正仿宋_GBK"/>
                <w:bCs/>
                <w:color w:val="auto"/>
                <w:sz w:val="32"/>
                <w:szCs w:val="32"/>
                <w:highlight w:val="none"/>
                <w:lang w:val="en-US" w:eastAsia="zh-CN"/>
              </w:rPr>
            </w:pPr>
            <w:r>
              <w:rPr>
                <w:rFonts w:hint="eastAsia" w:ascii="方正仿宋_GBK" w:hAnsi="方正仿宋_GBK" w:eastAsia="方正仿宋_GBK" w:cs="方正仿宋_GBK"/>
                <w:bCs/>
                <w:color w:val="auto"/>
                <w:sz w:val="32"/>
                <w:szCs w:val="32"/>
                <w:highlight w:val="none"/>
                <w:lang w:val="en-US" w:eastAsia="zh-CN"/>
              </w:rPr>
              <w:t>互动体验</w:t>
            </w:r>
          </w:p>
        </w:tc>
        <w:tc>
          <w:tcPr>
            <w:tcW w:w="6285" w:type="dxa"/>
            <w:tcBorders>
              <w:top w:val="single" w:color="000000" w:sz="4" w:space="0"/>
              <w:left w:val="single" w:color="000000" w:sz="4" w:space="0"/>
              <w:bottom w:val="single" w:color="000000" w:sz="4" w:space="0"/>
              <w:right w:val="single" w:color="000000" w:sz="4" w:space="0"/>
            </w:tcBorders>
            <w:noWrap w:val="0"/>
            <w:vAlign w:val="center"/>
          </w:tcPr>
          <w:p w14:paraId="429298E4">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方正仿宋_GBK" w:hAnsi="方正仿宋_GBK" w:eastAsia="方正仿宋_GBK" w:cs="方正仿宋_GBK"/>
                <w:bCs/>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lang w:val="en-US" w:eastAsia="zh-CN"/>
              </w:rPr>
              <w:t>提供不少于价值5000元的河源市特色农产品用于品鉴互动，以及所需一次性物资如碗筷器具、纸巾等；提供不少于600份的河源市农产品组合包用于互动抽奖；为2场对接活动分别提供活动主持不少于1人、客家文化表演不少于1场次。</w:t>
            </w:r>
          </w:p>
        </w:tc>
      </w:tr>
      <w:tr w14:paraId="0B41F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5" w:hRule="atLeast"/>
        </w:trPr>
        <w:tc>
          <w:tcPr>
            <w:tcW w:w="1030" w:type="dxa"/>
            <w:tcBorders>
              <w:top w:val="single" w:color="000000" w:sz="4" w:space="0"/>
              <w:left w:val="single" w:color="000000" w:sz="4" w:space="0"/>
              <w:bottom w:val="single" w:color="000000" w:sz="4" w:space="0"/>
              <w:right w:val="single" w:color="000000" w:sz="4" w:space="0"/>
            </w:tcBorders>
            <w:noWrap/>
            <w:vAlign w:val="center"/>
          </w:tcPr>
          <w:p w14:paraId="5DE6FDE3">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仿宋_GBK" w:hAnsi="方正仿宋_GBK" w:eastAsia="方正仿宋_GBK" w:cs="方正仿宋_GBK"/>
                <w:bCs/>
                <w:color w:val="auto"/>
                <w:sz w:val="32"/>
                <w:szCs w:val="32"/>
                <w:highlight w:val="none"/>
                <w:lang w:val="en-US" w:eastAsia="zh-CN"/>
              </w:rPr>
            </w:pPr>
            <w:r>
              <w:rPr>
                <w:rFonts w:hint="eastAsia" w:ascii="方正仿宋_GBK" w:hAnsi="方正仿宋_GBK" w:eastAsia="方正仿宋_GBK" w:cs="方正仿宋_GBK"/>
                <w:bCs/>
                <w:color w:val="auto"/>
                <w:sz w:val="32"/>
                <w:szCs w:val="32"/>
                <w:highlight w:val="none"/>
                <w:lang w:val="en-US" w:eastAsia="zh-CN"/>
              </w:rPr>
              <w:t>5</w:t>
            </w:r>
          </w:p>
        </w:tc>
        <w:tc>
          <w:tcPr>
            <w:tcW w:w="1545" w:type="dxa"/>
            <w:tcBorders>
              <w:top w:val="single" w:color="000000" w:sz="4" w:space="0"/>
              <w:left w:val="single" w:color="000000" w:sz="4" w:space="0"/>
              <w:bottom w:val="single" w:color="000000" w:sz="4" w:space="0"/>
              <w:right w:val="single" w:color="000000" w:sz="4" w:space="0"/>
            </w:tcBorders>
            <w:noWrap/>
            <w:vAlign w:val="center"/>
          </w:tcPr>
          <w:p w14:paraId="1D2811BE">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方正仿宋_GBK" w:hAnsi="方正仿宋_GBK" w:eastAsia="方正仿宋_GBK" w:cs="方正仿宋_GBK"/>
                <w:bCs/>
                <w:color w:val="auto"/>
                <w:sz w:val="32"/>
                <w:szCs w:val="32"/>
                <w:highlight w:val="none"/>
                <w:lang w:val="en-US" w:eastAsia="zh-CN"/>
              </w:rPr>
            </w:pPr>
            <w:r>
              <w:rPr>
                <w:rFonts w:hint="eastAsia" w:ascii="方正仿宋_GBK" w:hAnsi="方正仿宋_GBK" w:eastAsia="方正仿宋_GBK" w:cs="方正仿宋_GBK"/>
                <w:bCs/>
                <w:color w:val="auto"/>
                <w:sz w:val="32"/>
                <w:szCs w:val="32"/>
                <w:highlight w:val="none"/>
                <w:lang w:val="en-US" w:eastAsia="zh-CN"/>
              </w:rPr>
              <w:t>其他服务</w:t>
            </w:r>
          </w:p>
        </w:tc>
        <w:tc>
          <w:tcPr>
            <w:tcW w:w="6285" w:type="dxa"/>
            <w:tcBorders>
              <w:top w:val="single" w:color="000000" w:sz="4" w:space="0"/>
              <w:left w:val="single" w:color="000000" w:sz="4" w:space="0"/>
              <w:bottom w:val="single" w:color="000000" w:sz="4" w:space="0"/>
              <w:right w:val="single" w:color="000000" w:sz="4" w:space="0"/>
            </w:tcBorders>
            <w:noWrap w:val="0"/>
            <w:vAlign w:val="center"/>
          </w:tcPr>
          <w:p w14:paraId="4B200E8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bCs/>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lang w:val="en-US" w:eastAsia="zh-CN"/>
              </w:rPr>
              <w:t>根据参展实际需要，满足活动期间提出的合理需求，如用水、用电、推车、冰箱等需求。</w:t>
            </w:r>
          </w:p>
        </w:tc>
      </w:tr>
    </w:tbl>
    <w:p w14:paraId="56ECE992">
      <w:pPr>
        <w:pStyle w:val="7"/>
        <w:spacing w:line="560" w:lineRule="exact"/>
        <w:ind w:firstLine="640" w:firstLineChars="200"/>
        <w:rPr>
          <w:rFonts w:hint="eastAsia" w:ascii="方正黑体_GBK" w:hAnsi="方正黑体_GBK" w:eastAsia="方正黑体_GBK" w:cs="方正黑体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eastAsia="zh-CN"/>
        </w:rPr>
        <w:t>三、项目</w:t>
      </w:r>
      <w:r>
        <w:rPr>
          <w:rFonts w:hint="eastAsia" w:ascii="方正黑体_GBK" w:hAnsi="方正黑体_GBK" w:eastAsia="方正黑体_GBK" w:cs="方正黑体_GBK"/>
          <w:b w:val="0"/>
          <w:bCs w:val="0"/>
          <w:color w:val="auto"/>
          <w:sz w:val="32"/>
          <w:szCs w:val="32"/>
          <w:lang w:val="en-US" w:eastAsia="zh-CN"/>
        </w:rPr>
        <w:t>期限</w:t>
      </w:r>
    </w:p>
    <w:p w14:paraId="42E7F4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起止日期以双方签订的合同为准。</w:t>
      </w:r>
    </w:p>
    <w:p w14:paraId="03D76A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b w:val="0"/>
          <w:bCs w:val="0"/>
          <w:color w:val="auto"/>
          <w:kern w:val="2"/>
          <w:sz w:val="32"/>
          <w:szCs w:val="32"/>
          <w:lang w:val="en-US" w:eastAsia="zh-CN" w:bidi="ar-SA"/>
        </w:rPr>
      </w:pPr>
      <w:r>
        <w:rPr>
          <w:rFonts w:hint="eastAsia" w:ascii="方正黑体_GBK" w:hAnsi="方正黑体_GBK" w:eastAsia="方正黑体_GBK" w:cs="方正黑体_GBK"/>
          <w:b w:val="0"/>
          <w:bCs w:val="0"/>
          <w:color w:val="auto"/>
          <w:kern w:val="2"/>
          <w:sz w:val="32"/>
          <w:szCs w:val="32"/>
          <w:lang w:val="en-US" w:eastAsia="zh-CN" w:bidi="ar-SA"/>
        </w:rPr>
        <w:t>四、相关保障工作</w:t>
      </w:r>
    </w:p>
    <w:p w14:paraId="29F548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（一）包括且不限于安排落实好活动期间各点位计划外的参展及宣传推介方案的必要微调。</w:t>
      </w:r>
    </w:p>
    <w:p w14:paraId="41327F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b w:val="0"/>
          <w:bCs w:val="0"/>
          <w:color w:val="auto"/>
          <w:sz w:val="32"/>
          <w:szCs w:val="32"/>
          <w:highlight w:val="none"/>
          <w:lang w:val="en-US" w:eastAsia="zh-CN"/>
        </w:rPr>
        <w:t>（二）全程跟踪落实并确保活动成效，在项目完成后汇编相关材料成册用于验收。</w:t>
      </w:r>
    </w:p>
    <w:p w14:paraId="517F8763">
      <w:pPr>
        <w:spacing w:line="560" w:lineRule="exact"/>
        <w:rPr>
          <w:rFonts w:hint="eastAsia" w:ascii="方正仿宋_GBK" w:hAnsi="方正仿宋_GBK" w:eastAsia="方正仿宋_GBK" w:cs="方正仿宋_GBK"/>
          <w:color w:val="000000"/>
          <w:sz w:val="32"/>
          <w:szCs w:val="32"/>
        </w:rPr>
      </w:pPr>
      <w:bookmarkStart w:id="0" w:name="_GoBack"/>
      <w:bookmarkEnd w:id="0"/>
    </w:p>
    <w:sectPr>
      <w:footerReference r:id="rId3" w:type="default"/>
      <w:pgSz w:w="11906" w:h="16838"/>
      <w:pgMar w:top="1701" w:right="1474" w:bottom="1587" w:left="1587" w:header="720" w:footer="720"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iberation Sans">
    <w:altName w:val="微软雅黑"/>
    <w:panose1 w:val="00000000000000000000"/>
    <w:charset w:val="00"/>
    <w:family w:val="swiss"/>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Noto Sans CJK SC Regular">
    <w:altName w:val="宋体"/>
    <w:panose1 w:val="020B0500000000000000"/>
    <w:charset w:val="86"/>
    <w:family w:val="auto"/>
    <w:pitch w:val="default"/>
    <w:sig w:usb0="00000000" w:usb1="00000000" w:usb2="00000016" w:usb3="00000000" w:csb0="602E0107" w:csb1="00000000"/>
  </w:font>
  <w:font w:name="方正小标宋简体">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42D4D">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D9AD57">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0BD9AD57">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
  <w:drawingGridVerticalSpacing w:val="1"/>
  <w:displayHorizontalDrawingGridEvery w:val="1"/>
  <w:displayVerticalDrawingGridEvery w:val="1"/>
  <w:doNotUseMarginsForDrawingGridOrigin w:val="1"/>
  <w:drawingGridHorizontalOrigin w:val="0"/>
  <w:drawingGridVerticalOrigin w:val="0"/>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723F3"/>
    <w:rsid w:val="03AD1C78"/>
    <w:rsid w:val="05421D93"/>
    <w:rsid w:val="054B32F0"/>
    <w:rsid w:val="05C71188"/>
    <w:rsid w:val="06365387"/>
    <w:rsid w:val="07B552B2"/>
    <w:rsid w:val="0A225CB5"/>
    <w:rsid w:val="0A583185"/>
    <w:rsid w:val="0E3F43C5"/>
    <w:rsid w:val="0E5C5A3F"/>
    <w:rsid w:val="114C4FD2"/>
    <w:rsid w:val="12045618"/>
    <w:rsid w:val="134F26C3"/>
    <w:rsid w:val="1407271C"/>
    <w:rsid w:val="1453584B"/>
    <w:rsid w:val="14B17AD7"/>
    <w:rsid w:val="16903271"/>
    <w:rsid w:val="181C1DFA"/>
    <w:rsid w:val="199E584E"/>
    <w:rsid w:val="1AA82DF1"/>
    <w:rsid w:val="1B9B5517"/>
    <w:rsid w:val="1C814E6F"/>
    <w:rsid w:val="1CA53161"/>
    <w:rsid w:val="1E4B0B62"/>
    <w:rsid w:val="207D3DD5"/>
    <w:rsid w:val="21274A8D"/>
    <w:rsid w:val="241A06A0"/>
    <w:rsid w:val="24BA4B4F"/>
    <w:rsid w:val="250E67D7"/>
    <w:rsid w:val="252B1001"/>
    <w:rsid w:val="256242E5"/>
    <w:rsid w:val="28873CA2"/>
    <w:rsid w:val="29406171"/>
    <w:rsid w:val="2A2239F9"/>
    <w:rsid w:val="2BD56553"/>
    <w:rsid w:val="2E102014"/>
    <w:rsid w:val="2EDC78F6"/>
    <w:rsid w:val="30030473"/>
    <w:rsid w:val="30CC33FB"/>
    <w:rsid w:val="31345CFA"/>
    <w:rsid w:val="333B5B1E"/>
    <w:rsid w:val="33904807"/>
    <w:rsid w:val="33AF5E03"/>
    <w:rsid w:val="35387F2F"/>
    <w:rsid w:val="36B7D806"/>
    <w:rsid w:val="37215DAE"/>
    <w:rsid w:val="374F4491"/>
    <w:rsid w:val="3781466B"/>
    <w:rsid w:val="38FA6787"/>
    <w:rsid w:val="3B331317"/>
    <w:rsid w:val="3BEC625F"/>
    <w:rsid w:val="3C73057F"/>
    <w:rsid w:val="3D9EC9DC"/>
    <w:rsid w:val="3DF9425C"/>
    <w:rsid w:val="3E740EBA"/>
    <w:rsid w:val="3EB709F3"/>
    <w:rsid w:val="3F135889"/>
    <w:rsid w:val="3FF41FB0"/>
    <w:rsid w:val="407F255D"/>
    <w:rsid w:val="409E13A8"/>
    <w:rsid w:val="40D4197F"/>
    <w:rsid w:val="433C5CF2"/>
    <w:rsid w:val="44A83C31"/>
    <w:rsid w:val="47B3723E"/>
    <w:rsid w:val="47CA38F8"/>
    <w:rsid w:val="48861F15"/>
    <w:rsid w:val="48A72C1A"/>
    <w:rsid w:val="48F07DB8"/>
    <w:rsid w:val="49384272"/>
    <w:rsid w:val="4B1F5E4F"/>
    <w:rsid w:val="4BEB161D"/>
    <w:rsid w:val="4C117217"/>
    <w:rsid w:val="4D3674C5"/>
    <w:rsid w:val="4DE33966"/>
    <w:rsid w:val="4EC201C3"/>
    <w:rsid w:val="4FAA3CEB"/>
    <w:rsid w:val="4FDBCF80"/>
    <w:rsid w:val="503C71E1"/>
    <w:rsid w:val="5109336B"/>
    <w:rsid w:val="52F04324"/>
    <w:rsid w:val="53381997"/>
    <w:rsid w:val="55C622A8"/>
    <w:rsid w:val="57013842"/>
    <w:rsid w:val="59430AD8"/>
    <w:rsid w:val="59A43D8B"/>
    <w:rsid w:val="5AFE5B0C"/>
    <w:rsid w:val="5B706967"/>
    <w:rsid w:val="5BBF5201"/>
    <w:rsid w:val="5BED85B5"/>
    <w:rsid w:val="5CC62AC2"/>
    <w:rsid w:val="5EAD2E69"/>
    <w:rsid w:val="5F4408D8"/>
    <w:rsid w:val="5F7408C2"/>
    <w:rsid w:val="5FD3291C"/>
    <w:rsid w:val="604F09E7"/>
    <w:rsid w:val="613C1835"/>
    <w:rsid w:val="621864C0"/>
    <w:rsid w:val="628E007B"/>
    <w:rsid w:val="629A1170"/>
    <w:rsid w:val="63283C1D"/>
    <w:rsid w:val="650D3C56"/>
    <w:rsid w:val="652667D3"/>
    <w:rsid w:val="65D26342"/>
    <w:rsid w:val="65F26A72"/>
    <w:rsid w:val="680E29DE"/>
    <w:rsid w:val="687952FC"/>
    <w:rsid w:val="6A5C2214"/>
    <w:rsid w:val="6B7F5FEF"/>
    <w:rsid w:val="6BFF0507"/>
    <w:rsid w:val="6EFFB8FD"/>
    <w:rsid w:val="6F3283CB"/>
    <w:rsid w:val="6F8D53F9"/>
    <w:rsid w:val="6FA710FE"/>
    <w:rsid w:val="6FF77771"/>
    <w:rsid w:val="71FEDB44"/>
    <w:rsid w:val="73DEDD23"/>
    <w:rsid w:val="742028FA"/>
    <w:rsid w:val="75321A53"/>
    <w:rsid w:val="75FF09C7"/>
    <w:rsid w:val="76FF9AB9"/>
    <w:rsid w:val="78FF5F8F"/>
    <w:rsid w:val="792E3A63"/>
    <w:rsid w:val="794A56E3"/>
    <w:rsid w:val="7A6A7A61"/>
    <w:rsid w:val="7AE32573"/>
    <w:rsid w:val="7BB104F0"/>
    <w:rsid w:val="7BF6F7B6"/>
    <w:rsid w:val="7D6F1EB2"/>
    <w:rsid w:val="7DBF9061"/>
    <w:rsid w:val="7DFFC7C5"/>
    <w:rsid w:val="7F5E2BDA"/>
    <w:rsid w:val="7F5EB1FD"/>
    <w:rsid w:val="7FAF4DA5"/>
    <w:rsid w:val="7FBBD71B"/>
    <w:rsid w:val="7FED1D02"/>
    <w:rsid w:val="7FEF7E38"/>
    <w:rsid w:val="7FF821C9"/>
    <w:rsid w:val="7FFE8253"/>
    <w:rsid w:val="7FFFA7A8"/>
    <w:rsid w:val="8FEE9B15"/>
    <w:rsid w:val="97EFC89C"/>
    <w:rsid w:val="9F1FCEF8"/>
    <w:rsid w:val="9FBF4E91"/>
    <w:rsid w:val="ACDFF1D8"/>
    <w:rsid w:val="AEBD8736"/>
    <w:rsid w:val="AEFFACD5"/>
    <w:rsid w:val="B7CDCD37"/>
    <w:rsid w:val="BDECAE91"/>
    <w:rsid w:val="BE7FF53E"/>
    <w:rsid w:val="BED771D6"/>
    <w:rsid w:val="BFBE9913"/>
    <w:rsid w:val="BFBFBEE6"/>
    <w:rsid w:val="C77D9EBD"/>
    <w:rsid w:val="CB9D8498"/>
    <w:rsid w:val="CC367A29"/>
    <w:rsid w:val="CCE78524"/>
    <w:rsid w:val="D167FFD5"/>
    <w:rsid w:val="D9EFE055"/>
    <w:rsid w:val="E77BE298"/>
    <w:rsid w:val="EF1550E5"/>
    <w:rsid w:val="EF7BAF8F"/>
    <w:rsid w:val="EFF60461"/>
    <w:rsid w:val="F1FFBB0E"/>
    <w:rsid w:val="F3DCE8B4"/>
    <w:rsid w:val="F5DF7DEB"/>
    <w:rsid w:val="F5F7B6B0"/>
    <w:rsid w:val="F5FF2D25"/>
    <w:rsid w:val="F62F49E3"/>
    <w:rsid w:val="F77BCC7C"/>
    <w:rsid w:val="F9EBADC8"/>
    <w:rsid w:val="FB5F019F"/>
    <w:rsid w:val="FBFDCAEA"/>
    <w:rsid w:val="FC5B5371"/>
    <w:rsid w:val="FCBE38BE"/>
    <w:rsid w:val="FDE32185"/>
    <w:rsid w:val="FE3FB7F3"/>
    <w:rsid w:val="FE99CF61"/>
    <w:rsid w:val="FE9F3398"/>
    <w:rsid w:val="FEFFCF15"/>
    <w:rsid w:val="FF37F96E"/>
    <w:rsid w:val="FF5F0F1C"/>
    <w:rsid w:val="FF7DC816"/>
    <w:rsid w:val="FFABB87D"/>
    <w:rsid w:val="FFBBE8BA"/>
    <w:rsid w:val="FFD58C92"/>
    <w:rsid w:val="FFEE8921"/>
    <w:rsid w:val="FFF2AC5C"/>
    <w:rsid w:val="FFFF47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2">
    <w:name w:val="heading 3"/>
    <w:basedOn w:val="1"/>
    <w:next w:val="1"/>
    <w:qFormat/>
    <w:uiPriority w:val="99"/>
    <w:pPr>
      <w:keepNext/>
      <w:keepLines/>
      <w:spacing w:before="260" w:after="260" w:line="415" w:lineRule="auto"/>
      <w:outlineLvl w:val="2"/>
    </w:pPr>
    <w:rPr>
      <w:b/>
      <w:bCs/>
      <w:sz w:val="32"/>
      <w:szCs w:val="32"/>
    </w:rPr>
  </w:style>
  <w:style w:type="character" w:default="1" w:styleId="14">
    <w:name w:val="Default Paragraph Font"/>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spacing w:line="360" w:lineRule="auto"/>
      <w:ind w:firstLine="420"/>
      <w:jc w:val="left"/>
    </w:pPr>
  </w:style>
  <w:style w:type="paragraph" w:styleId="4">
    <w:name w:val="caption"/>
    <w:basedOn w:val="1"/>
    <w:qFormat/>
    <w:uiPriority w:val="0"/>
    <w:pPr>
      <w:widowControl w:val="0"/>
      <w:suppressLineNumbers/>
      <w:suppressAutoHyphens/>
      <w:spacing w:before="120" w:after="120"/>
    </w:pPr>
    <w:rPr>
      <w:i/>
      <w:iCs/>
      <w:sz w:val="24"/>
      <w:szCs w:val="24"/>
    </w:rPr>
  </w:style>
  <w:style w:type="paragraph" w:styleId="5">
    <w:name w:val="annotation text"/>
    <w:basedOn w:val="1"/>
    <w:qFormat/>
    <w:uiPriority w:val="0"/>
    <w:pPr>
      <w:jc w:val="left"/>
    </w:pPr>
  </w:style>
  <w:style w:type="paragraph" w:styleId="6">
    <w:name w:val="Body Text"/>
    <w:basedOn w:val="1"/>
    <w:qFormat/>
    <w:uiPriority w:val="0"/>
    <w:pPr>
      <w:spacing w:before="0" w:after="140" w:line="276" w:lineRule="auto"/>
    </w:pPr>
  </w:style>
  <w:style w:type="paragraph" w:styleId="7">
    <w:name w:val="Plain Text"/>
    <w:basedOn w:val="1"/>
    <w:unhideWhenUsed/>
    <w:qFormat/>
    <w:uiPriority w:val="99"/>
    <w:rPr>
      <w:rFonts w:ascii="宋体" w:hAnsi="Courier New"/>
    </w:rPr>
  </w:style>
  <w:style w:type="paragraph" w:styleId="8">
    <w:name w:val="footer"/>
    <w:basedOn w:val="1"/>
    <w:qFormat/>
    <w:uiPriority w:val="0"/>
    <w:pPr>
      <w:tabs>
        <w:tab w:val="center" w:pos="4153"/>
        <w:tab w:val="right" w:pos="8306"/>
      </w:tabs>
      <w:snapToGrid w:val="0"/>
      <w:jc w:val="left"/>
    </w:pPr>
    <w:rPr>
      <w:kern w:val="2"/>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kern w:val="2"/>
      <w:sz w:val="18"/>
      <w:szCs w:val="18"/>
    </w:rPr>
  </w:style>
  <w:style w:type="paragraph" w:styleId="10">
    <w:name w:val="List"/>
    <w:basedOn w:val="6"/>
    <w:qFormat/>
    <w:uiPriority w:val="0"/>
  </w:style>
  <w:style w:type="paragraph" w:styleId="11">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2">
    <w:name w:val="Body Text First Indent"/>
    <w:basedOn w:val="6"/>
    <w:qFormat/>
    <w:uiPriority w:val="0"/>
    <w:pPr>
      <w:ind w:firstLine="420" w:firstLineChars="100"/>
    </w:pPr>
    <w:rPr>
      <w:rFonts w:ascii="Times New Roman" w:hAnsi="Times New Roman" w:eastAsia="宋体" w:cs="Times New Roman"/>
    </w:rPr>
  </w:style>
  <w:style w:type="character" w:styleId="15">
    <w:name w:val="Strong"/>
    <w:basedOn w:val="14"/>
    <w:qFormat/>
    <w:uiPriority w:val="0"/>
    <w:rPr>
      <w:b/>
    </w:rPr>
  </w:style>
  <w:style w:type="character" w:customStyle="1" w:styleId="16">
    <w:name w:val="默认段落字体1"/>
    <w:qFormat/>
    <w:uiPriority w:val="0"/>
  </w:style>
  <w:style w:type="paragraph" w:customStyle="1" w:styleId="17">
    <w:name w:val="Heading"/>
    <w:basedOn w:val="1"/>
    <w:next w:val="6"/>
    <w:qFormat/>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18">
    <w:name w:val="Index"/>
    <w:basedOn w:val="1"/>
    <w:qFormat/>
    <w:uiPriority w:val="0"/>
    <w:pPr>
      <w:widowControl w:val="0"/>
      <w:suppressLineNumbers/>
      <w:suppressAutoHyphens/>
    </w:pPr>
  </w:style>
  <w:style w:type="character" w:customStyle="1" w:styleId="19">
    <w:name w:val="NormalCharacter"/>
    <w:semiHidden/>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Pages>
  <Words>8234</Words>
  <Characters>9039</Characters>
  <TotalTime>3</TotalTime>
  <ScaleCrop>false</ScaleCrop>
  <LinksUpToDate>false</LinksUpToDate>
  <CharactersWithSpaces>9394</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2018-12-11T09:47:00Z</dcterms:created>
  <dc:creator>greatwall</dc:creator>
  <cp:lastModifiedBy>黎鉴文</cp:lastModifiedBy>
  <cp:lastPrinted>2024-11-03T09:00:00Z</cp:lastPrinted>
  <dcterms:modified xsi:type="dcterms:W3CDTF">2026-08-21T09:41:50Z</dcterms:modified>
  <dc:title>第十五届广东现代农业博览会“江门馆”特装服务项目采购公告</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1D90F91725A44B588A5AFF37710BFAAA_13</vt:lpwstr>
  </property>
  <property fmtid="{D5CDD505-2E9C-101B-9397-08002B2CF9AE}" pid="4" name="KSOTemplateDocerSaveRecord">
    <vt:lpwstr>eyJoZGlkIjoiY2NkNGQxODY5M2UzMzk0ZmVlYjZmNWRiMGIwYjc4YTgiLCJ1c2VySWQiOiIxNTY4Mjg5OTk2In0=</vt:lpwstr>
  </property>
</Properties>
</file>