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600" w:lineRule="exact"/>
        <w:jc w:val="both"/>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附件1</w:t>
      </w:r>
    </w:p>
    <w:p>
      <w:pPr>
        <w:keepNext w:val="0"/>
        <w:keepLines w:val="0"/>
        <w:pageBreakBefore w:val="0"/>
        <w:wordWrap/>
        <w:overflowPunct/>
        <w:topLinePunct w:val="0"/>
        <w:bidi w:val="0"/>
        <w:spacing w:line="600" w:lineRule="exact"/>
        <w:jc w:val="both"/>
        <w:rPr>
          <w:rFonts w:hint="eastAsia" w:ascii="宋体" w:hAnsi="宋体" w:eastAsia="仿宋_GB2312" w:cs="仿宋_GB2312"/>
          <w:sz w:val="32"/>
          <w:szCs w:val="32"/>
          <w:lang w:val="en-US" w:eastAsia="zh-CN"/>
        </w:rPr>
      </w:pPr>
    </w:p>
    <w:p>
      <w:pPr>
        <w:keepNext w:val="0"/>
        <w:keepLines w:val="0"/>
        <w:pageBreakBefore w:val="0"/>
        <w:wordWrap/>
        <w:overflowPunct/>
        <w:topLinePunct w:val="0"/>
        <w:bidi w:val="0"/>
        <w:spacing w:line="600" w:lineRule="exact"/>
        <w:jc w:val="center"/>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方正小标宋_GBK" w:cs="方正小标宋_GBK"/>
          <w:color w:val="222222"/>
          <w:kern w:val="0"/>
          <w:sz w:val="44"/>
          <w:szCs w:val="44"/>
          <w:shd w:val="clear" w:color="auto" w:fill="FFFFFF"/>
          <w:lang w:val="en-US" w:eastAsia="zh-CN" w:bidi="ar-SA"/>
        </w:rPr>
        <w:t>广东省高价值专利培育布局中心建设项目申报指南</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color w:val="auto"/>
          <w:sz w:val="32"/>
          <w:szCs w:val="32"/>
          <w:u w:val="none"/>
          <w:lang w:val="en-US" w:eastAsia="zh-CN"/>
        </w:rPr>
      </w:pP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b/>
          <w:bCs/>
          <w:color w:val="auto"/>
          <w:sz w:val="32"/>
          <w:szCs w:val="32"/>
          <w:u w:val="none"/>
          <w:lang w:val="en-US" w:eastAsia="zh-CN"/>
        </w:rPr>
      </w:pPr>
      <w:r>
        <w:rPr>
          <w:rFonts w:hint="eastAsia" w:ascii="宋体" w:hAnsi="宋体" w:eastAsia="黑体" w:cs="黑体"/>
          <w:color w:val="auto"/>
          <w:sz w:val="32"/>
          <w:szCs w:val="32"/>
          <w:u w:val="none"/>
          <w:lang w:val="en-US" w:eastAsia="zh-CN"/>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广东省高价值专利培育布局中心建设项目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二、项目目标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snapToGrid w:val="0"/>
          <w:color w:val="auto"/>
          <w:kern w:val="0"/>
          <w:sz w:val="32"/>
          <w:szCs w:val="32"/>
          <w:lang w:val="en-US" w:eastAsia="zh-CN"/>
        </w:rPr>
        <w:t>聚焦我省重点培育发展的新一代信息技术、生物、高端装备制造、新材料、数字创意、新能源、新能源汽车、节能环保、数字创意、航空航天、海洋装备等战略性新兴产业领域，</w:t>
      </w:r>
      <w:r>
        <w:rPr>
          <w:rFonts w:hint="eastAsia" w:ascii="宋体" w:hAnsi="宋体" w:eastAsia="仿宋_GB2312" w:cs="仿宋_GB2312"/>
          <w:color w:val="auto"/>
          <w:sz w:val="32"/>
          <w:szCs w:val="32"/>
          <w:u w:val="none"/>
          <w:lang w:val="en-US" w:eastAsia="zh-CN"/>
        </w:rPr>
        <w:t>支持相关创新主体建设高价值专利培育布局中心，</w:t>
      </w:r>
      <w:r>
        <w:rPr>
          <w:rFonts w:hint="eastAsia" w:ascii="宋体" w:hAnsi="宋体" w:eastAsia="仿宋_GB2312" w:cs="仿宋_GB2312"/>
          <w:snapToGrid w:val="0"/>
          <w:color w:val="auto"/>
          <w:kern w:val="0"/>
          <w:sz w:val="32"/>
          <w:szCs w:val="32"/>
        </w:rPr>
        <w:t>精准开展高价</w:t>
      </w:r>
      <w:bookmarkStart w:id="0" w:name="_GoBack"/>
      <w:bookmarkEnd w:id="0"/>
      <w:r>
        <w:rPr>
          <w:rFonts w:hint="eastAsia" w:ascii="宋体" w:hAnsi="宋体" w:eastAsia="仿宋_GB2312" w:cs="仿宋_GB2312"/>
          <w:snapToGrid w:val="0"/>
          <w:color w:val="auto"/>
          <w:kern w:val="0"/>
          <w:sz w:val="32"/>
          <w:szCs w:val="32"/>
        </w:rPr>
        <w:t>值专利培育布局</w:t>
      </w:r>
      <w:r>
        <w:rPr>
          <w:rFonts w:hint="eastAsia" w:ascii="宋体" w:hAnsi="宋体" w:eastAsia="仿宋_GB2312" w:cs="仿宋_GB2312"/>
          <w:color w:val="auto"/>
          <w:sz w:val="32"/>
          <w:szCs w:val="32"/>
        </w:rPr>
        <w:t>，</w:t>
      </w:r>
      <w:r>
        <w:rPr>
          <w:rFonts w:hint="eastAsia" w:ascii="宋体" w:hAnsi="宋体" w:eastAsia="仿宋_GB2312" w:cs="仿宋_GB2312"/>
          <w:snapToGrid w:val="0"/>
          <w:color w:val="auto"/>
          <w:kern w:val="0"/>
          <w:sz w:val="32"/>
          <w:szCs w:val="32"/>
          <w:lang w:val="en-US" w:eastAsia="zh-CN"/>
        </w:rPr>
        <w:t>培育一批具有行业领先优势、面向前沿领域布局的原创性、基础性专利和高价值专利组合</w:t>
      </w:r>
      <w:r>
        <w:rPr>
          <w:rFonts w:hint="eastAsia" w:ascii="宋体" w:hAnsi="宋体" w:eastAsia="仿宋_GB2312" w:cs="仿宋_GB2312"/>
          <w:snapToGrid w:val="0"/>
          <w:color w:val="auto"/>
          <w:kern w:val="0"/>
          <w:sz w:val="32"/>
          <w:szCs w:val="32"/>
          <w:lang w:eastAsia="zh-CN"/>
        </w:rPr>
        <w:t>，</w:t>
      </w:r>
      <w:r>
        <w:rPr>
          <w:rFonts w:hint="eastAsia" w:ascii="宋体" w:hAnsi="宋体" w:eastAsia="仿宋_GB2312" w:cs="仿宋_GB2312"/>
          <w:color w:val="auto"/>
          <w:sz w:val="32"/>
          <w:szCs w:val="32"/>
          <w:u w:val="none"/>
          <w:lang w:eastAsia="zh-CN"/>
        </w:rPr>
        <w:t>加快创新驱动发展。</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 xml:space="preserve"> </w:t>
      </w:r>
      <w:r>
        <w:rPr>
          <w:rFonts w:hint="eastAsia" w:ascii="宋体" w:hAnsi="宋体" w:eastAsia="黑体" w:cs="黑体"/>
          <w:color w:val="auto"/>
          <w:sz w:val="32"/>
          <w:szCs w:val="32"/>
          <w:u w:val="none"/>
          <w:lang w:val="en-US" w:eastAsia="zh-CN"/>
        </w:rPr>
        <w:t>三、项目</w:t>
      </w:r>
      <w:r>
        <w:rPr>
          <w:rFonts w:hint="eastAsia" w:ascii="宋体" w:hAnsi="宋体" w:eastAsia="黑体" w:cs="黑体"/>
          <w:color w:val="auto"/>
          <w:sz w:val="32"/>
          <w:szCs w:val="32"/>
          <w:u w:val="none"/>
          <w:lang w:eastAsia="zh-CN"/>
        </w:rPr>
        <w:t>任务</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bCs/>
          <w:color w:val="auto"/>
          <w:lang w:eastAsia="zh-CN"/>
        </w:rPr>
      </w:pPr>
      <w:r>
        <w:rPr>
          <w:rFonts w:hint="eastAsia" w:ascii="宋体" w:hAnsi="宋体" w:eastAsia="仿宋_GB2312"/>
          <w:bCs/>
          <w:color w:val="auto"/>
          <w:lang w:eastAsia="zh-CN"/>
        </w:rPr>
        <w:t>（一）加强企业知识产权制度建设，</w:t>
      </w:r>
      <w:r>
        <w:rPr>
          <w:rFonts w:hint="eastAsia" w:ascii="宋体" w:hAnsi="宋体" w:eastAsia="仿宋_GB2312" w:cs="仿宋_GB2312"/>
          <w:b w:val="0"/>
          <w:bCs/>
          <w:color w:val="auto"/>
          <w:sz w:val="32"/>
          <w:szCs w:val="32"/>
          <w:lang w:val="en-US" w:eastAsia="zh-CN"/>
        </w:rPr>
        <w:t>完善组织架构和人员分工，推动知识产权融入科技研发全过程管理。</w:t>
      </w:r>
      <w:r>
        <w:rPr>
          <w:rFonts w:hint="eastAsia" w:ascii="宋体" w:hAnsi="宋体" w:eastAsia="仿宋_GB2312"/>
          <w:bCs/>
          <w:color w:val="auto"/>
          <w:lang w:eastAsia="zh-CN"/>
        </w:rPr>
        <w:t>建立企业专利分级分类管理机制，促进专利与企业发展紧密融合，以点带面促进企业高价值专利培育运用，形成企业专利管理及权益分配机制文件1套；</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default" w:ascii="宋体" w:hAnsi="宋体" w:eastAsia="仿宋_GB2312"/>
          <w:bCs/>
          <w:color w:val="auto"/>
          <w:lang w:val="en-US" w:eastAsia="zh-CN"/>
        </w:rPr>
      </w:pPr>
      <w:r>
        <w:rPr>
          <w:rFonts w:hint="eastAsia" w:ascii="宋体" w:hAnsi="宋体" w:eastAsia="仿宋_GB2312"/>
          <w:bCs/>
          <w:color w:val="auto"/>
          <w:lang w:eastAsia="zh-CN"/>
        </w:rPr>
        <w:t>（二）建立健全企业与知识产权专业服务机构对接合作机制、海外专利全过程管理体系，开展企业专利申请前评估，将专利信息资源开发利用融入企业研发全链条，提升研发效能，加强关键核心技术知识产权储备，形成企业高价值发明专利培育布局方案、企业海外高水平专利布局方案各</w:t>
      </w:r>
      <w:r>
        <w:rPr>
          <w:rFonts w:hint="eastAsia" w:ascii="宋体" w:hAnsi="宋体" w:eastAsia="仿宋_GB2312"/>
          <w:bCs/>
          <w:color w:val="auto"/>
          <w:lang w:val="en-US" w:eastAsia="zh-CN"/>
        </w:rPr>
        <w:t>1套；</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bCs/>
          <w:color w:val="auto"/>
          <w:highlight w:val="none"/>
          <w:lang w:eastAsia="zh-CN"/>
        </w:rPr>
      </w:pPr>
      <w:r>
        <w:rPr>
          <w:rFonts w:hint="eastAsia" w:ascii="宋体" w:hAnsi="宋体" w:eastAsia="仿宋_GB2312"/>
          <w:bCs/>
          <w:color w:val="auto"/>
          <w:highlight w:val="none"/>
          <w:lang w:eastAsia="zh-CN"/>
        </w:rPr>
        <w:t>（三）开展专利信息检索分析工作，围绕研发创新重点领域开展深度专利信息检索分析，对不少于30件专利完成信息检索分析，将专利信息利用融入技术研发过程，形成企业专利导航报告1份并完成备案；</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bCs/>
          <w:color w:val="auto"/>
          <w:lang w:eastAsia="zh-CN"/>
        </w:rPr>
      </w:pPr>
      <w:r>
        <w:rPr>
          <w:rFonts w:hint="eastAsia" w:ascii="宋体" w:hAnsi="宋体" w:eastAsia="仿宋_GB2312"/>
          <w:bCs/>
          <w:color w:val="auto"/>
          <w:lang w:eastAsia="zh-CN"/>
        </w:rPr>
        <w:t>（四）</w:t>
      </w:r>
      <w:r>
        <w:rPr>
          <w:rFonts w:hint="eastAsia" w:ascii="宋体" w:hAnsi="宋体" w:eastAsia="仿宋_GB2312" w:cs="仿宋_GB2312"/>
          <w:b w:val="0"/>
          <w:bCs/>
          <w:color w:val="auto"/>
          <w:sz w:val="32"/>
          <w:szCs w:val="32"/>
          <w:lang w:val="en-US" w:eastAsia="zh-CN"/>
        </w:rPr>
        <w:t>开展高价值专利培育工作，</w:t>
      </w:r>
      <w:r>
        <w:rPr>
          <w:rFonts w:hint="eastAsia" w:ascii="宋体" w:hAnsi="宋体" w:eastAsia="仿宋_GB2312"/>
          <w:bCs/>
          <w:color w:val="auto"/>
          <w:lang w:eastAsia="zh-CN"/>
        </w:rPr>
        <w:t>在战略性新兴产业领域产出高价值发明专利</w:t>
      </w:r>
      <w:r>
        <w:rPr>
          <w:rFonts w:hint="eastAsia" w:ascii="宋体" w:hAnsi="宋体" w:eastAsia="仿宋_GB2312"/>
          <w:bCs/>
          <w:color w:val="auto"/>
          <w:lang w:val="en-US" w:eastAsia="zh-CN"/>
        </w:rPr>
        <w:t>10</w:t>
      </w:r>
      <w:r>
        <w:rPr>
          <w:rFonts w:hint="eastAsia" w:ascii="宋体" w:hAnsi="宋体" w:eastAsia="仿宋_GB2312"/>
          <w:bCs/>
          <w:color w:val="auto"/>
          <w:lang w:eastAsia="zh-CN"/>
        </w:rPr>
        <w:t>件（含）以上；前瞻性培育布局关键技术领域海外专利，新增PCT专利不少于2件；完成专利密集型产品备案不少于</w:t>
      </w:r>
      <w:r>
        <w:rPr>
          <w:rFonts w:hint="eastAsia" w:ascii="宋体" w:hAnsi="宋体" w:eastAsia="仿宋_GB2312"/>
          <w:bCs/>
          <w:color w:val="auto"/>
          <w:lang w:val="en-US" w:eastAsia="zh-CN"/>
        </w:rPr>
        <w:t>5件；</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bCs/>
          <w:color w:val="auto"/>
          <w:lang w:eastAsia="zh-CN"/>
        </w:rPr>
      </w:pPr>
      <w:r>
        <w:rPr>
          <w:rFonts w:hint="eastAsia" w:ascii="宋体" w:hAnsi="宋体" w:eastAsia="仿宋_GB2312"/>
          <w:bCs/>
          <w:color w:val="auto"/>
          <w:lang w:eastAsia="zh-CN"/>
        </w:rPr>
        <w:t>（五）培养壮大企业专利高端人才队伍，开展企业研发和管理人员高价值专利培育宣贯或</w:t>
      </w:r>
      <w:r>
        <w:rPr>
          <w:rFonts w:hint="eastAsia" w:ascii="宋体" w:hAnsi="宋体" w:eastAsia="仿宋_GB2312"/>
          <w:bCs/>
          <w:color w:val="auto"/>
          <w:lang w:val="en-US" w:eastAsia="zh-CN"/>
        </w:rPr>
        <w:t>PCT海外专利布局</w:t>
      </w:r>
      <w:r>
        <w:rPr>
          <w:rFonts w:hint="eastAsia" w:ascii="宋体" w:hAnsi="宋体" w:eastAsia="仿宋_GB2312"/>
          <w:bCs/>
          <w:color w:val="auto"/>
          <w:lang w:eastAsia="zh-CN"/>
        </w:rPr>
        <w:t>培训活动不少于2场，每场活动参加单位不少于20家，人数不少于40人；</w:t>
      </w:r>
    </w:p>
    <w:p>
      <w:pPr>
        <w:keepNext w:val="0"/>
        <w:keepLines w:val="0"/>
        <w:pageBreakBefore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bCs/>
          <w:color w:val="auto"/>
          <w:lang w:val="en-US" w:eastAsia="zh-CN"/>
        </w:rPr>
      </w:pPr>
      <w:r>
        <w:rPr>
          <w:rFonts w:hint="eastAsia" w:ascii="宋体" w:hAnsi="宋体" w:eastAsia="仿宋_GB2312" w:cs="仿宋_GB2312"/>
          <w:b w:val="0"/>
          <w:bCs/>
          <w:color w:val="auto"/>
          <w:sz w:val="32"/>
          <w:szCs w:val="32"/>
          <w:lang w:val="en-US" w:eastAsia="zh-CN"/>
        </w:rPr>
        <w:t>（六）促进专利转化运用</w:t>
      </w:r>
      <w:r>
        <w:rPr>
          <w:rFonts w:hint="eastAsia" w:ascii="宋体" w:hAnsi="宋体" w:eastAsia="仿宋_GB2312"/>
          <w:bCs/>
          <w:color w:val="auto"/>
          <w:lang w:val="en-US" w:eastAsia="zh-CN"/>
        </w:rPr>
        <w:t>，完善专利转化运用机制，通过专利转让许可、质押融资等方式，推动专利转化运用取得较好成果。积极开展知识产权优势示范创建工作，参与中国/广东专利奖等国家、省知识产权相关评奖，粤港澳大湾区高价值知识产权培育布局大赛、粤东西北知识产权创新运用大赛、知识产权交易博览会等各类赛事、大型展会活动，</w:t>
      </w:r>
      <w:r>
        <w:rPr>
          <w:rFonts w:hint="eastAsia" w:ascii="宋体" w:hAnsi="宋体" w:eastAsia="仿宋_GB2312" w:cs="仿宋_GB2312"/>
          <w:color w:val="auto"/>
          <w:sz w:val="32"/>
          <w:szCs w:val="32"/>
          <w:u w:val="none"/>
          <w:lang w:val="en-US" w:eastAsia="zh-CN"/>
        </w:rPr>
        <w:t>贯彻实施知识产权管理规范，</w:t>
      </w:r>
      <w:r>
        <w:rPr>
          <w:rFonts w:hint="eastAsia" w:ascii="宋体" w:hAnsi="宋体" w:eastAsia="仿宋_GB2312"/>
          <w:bCs/>
          <w:color w:val="auto"/>
          <w:lang w:val="en-US" w:eastAsia="zh-CN"/>
        </w:rPr>
        <w:t>全面提升知识产权创造质量和运用效益；形成不少于1个相关典型案例。</w:t>
      </w:r>
    </w:p>
    <w:p>
      <w:pPr>
        <w:keepNext w:val="0"/>
        <w:keepLines w:val="0"/>
        <w:pageBreakBefore w:val="0"/>
        <w:widowControl w:val="0"/>
        <w:kinsoku/>
        <w:wordWrap/>
        <w:overflowPunct/>
        <w:topLinePunct w:val="0"/>
        <w:autoSpaceDE w:val="0"/>
        <w:autoSpaceDN w:val="0"/>
        <w:bidi w:val="0"/>
        <w:adjustRightInd/>
        <w:snapToGrid/>
        <w:spacing w:line="600" w:lineRule="exact"/>
        <w:ind w:right="0" w:rightChars="0" w:firstLine="640" w:firstLineChars="200"/>
        <w:jc w:val="both"/>
        <w:textAlignment w:val="auto"/>
        <w:rPr>
          <w:rFonts w:hint="eastAsia" w:ascii="宋体" w:hAnsi="宋体" w:eastAsia="黑体" w:cs="黑体"/>
          <w:color w:val="auto"/>
          <w:sz w:val="32"/>
          <w:szCs w:val="32"/>
          <w:u w:val="none"/>
          <w:lang w:eastAsia="zh-CN"/>
        </w:rPr>
      </w:pPr>
      <w:r>
        <w:rPr>
          <w:rFonts w:hint="eastAsia" w:ascii="宋体" w:hAnsi="宋体" w:eastAsia="黑体" w:cs="黑体"/>
          <w:color w:val="auto"/>
          <w:sz w:val="32"/>
          <w:szCs w:val="32"/>
          <w:u w:val="none"/>
          <w:lang w:eastAsia="zh-CN"/>
        </w:rPr>
        <w:t>四、申报主体及条件</w:t>
      </w:r>
    </w:p>
    <w:p>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eastAsia" w:ascii="宋体" w:hAnsi="宋体" w:eastAsia="仿宋_GB2312" w:cs="仿宋_GB2312"/>
          <w:b w:val="0"/>
          <w:bCs/>
          <w:color w:val="auto"/>
          <w:sz w:val="32"/>
          <w:szCs w:val="32"/>
          <w:lang w:eastAsia="zh-CN"/>
        </w:rPr>
      </w:pPr>
      <w:r>
        <w:rPr>
          <w:rFonts w:hint="eastAsia" w:ascii="宋体" w:hAnsi="宋体" w:eastAsia="仿宋_GB2312" w:cs="仿宋_GB2312"/>
          <w:b w:val="0"/>
          <w:bCs/>
          <w:color w:val="auto"/>
          <w:sz w:val="32"/>
          <w:szCs w:val="32"/>
          <w:lang w:eastAsia="zh-CN"/>
        </w:rPr>
        <w:t>（一）</w:t>
      </w:r>
      <w:r>
        <w:rPr>
          <w:rFonts w:hint="eastAsia" w:ascii="宋体" w:hAnsi="宋体" w:eastAsia="仿宋_GB2312" w:cs="仿宋_GB2312"/>
          <w:b w:val="0"/>
          <w:bCs/>
          <w:color w:val="auto"/>
          <w:sz w:val="32"/>
          <w:szCs w:val="32"/>
        </w:rPr>
        <w:t>申报主体：</w:t>
      </w:r>
      <w:r>
        <w:rPr>
          <w:rFonts w:hint="eastAsia" w:ascii="宋体" w:hAnsi="宋体" w:eastAsia="仿宋_GB2312" w:cs="仿宋_GB2312"/>
          <w:b w:val="0"/>
          <w:bCs/>
          <w:color w:val="auto"/>
          <w:sz w:val="32"/>
          <w:szCs w:val="32"/>
          <w:lang w:eastAsia="zh-CN"/>
        </w:rPr>
        <w:t>省内依法登记注册、具备合法资质的相关产业园区、技术创新中心、产学研基地，高等院校、科研机构、医疗机构、重点实验室、企业，各类技术转移转化中心或平台、知识产权服务机构、相关产业领域行业组织等申报。</w:t>
      </w:r>
    </w:p>
    <w:p>
      <w:pPr>
        <w:keepNext w:val="0"/>
        <w:keepLines w:val="0"/>
        <w:pageBreakBefore w:val="0"/>
        <w:widowControl w:val="0"/>
        <w:kinsoku/>
        <w:wordWrap/>
        <w:overflowPunct/>
        <w:topLinePunct w:val="0"/>
        <w:bidi w:val="0"/>
        <w:adjustRightInd/>
        <w:snapToGrid/>
        <w:spacing w:line="600" w:lineRule="exact"/>
        <w:ind w:firstLine="640" w:firstLineChars="200"/>
        <w:jc w:val="both"/>
        <w:textAlignment w:val="auto"/>
        <w:rPr>
          <w:rFonts w:hint="default" w:ascii="宋体" w:hAnsi="宋体" w:eastAsia="仿宋_GB2312" w:cs="仿宋_GB2312"/>
          <w:color w:val="auto"/>
          <w:spacing w:val="-6"/>
          <w:sz w:val="32"/>
          <w:szCs w:val="32"/>
          <w:lang w:val="en-US" w:eastAsia="zh-CN"/>
        </w:rPr>
      </w:pPr>
      <w:r>
        <w:rPr>
          <w:rFonts w:hint="eastAsia" w:ascii="宋体" w:hAnsi="宋体" w:eastAsia="仿宋_GB2312" w:cs="仿宋_GB2312"/>
          <w:b w:val="0"/>
          <w:bCs/>
          <w:color w:val="auto"/>
          <w:sz w:val="32"/>
          <w:szCs w:val="32"/>
          <w:lang w:eastAsia="zh-CN"/>
        </w:rPr>
        <w:t>（二）申报条件：</w:t>
      </w:r>
      <w:r>
        <w:rPr>
          <w:rFonts w:hint="eastAsia" w:ascii="宋体" w:hAnsi="宋体" w:eastAsia="仿宋_GB2312"/>
          <w:color w:val="auto"/>
          <w:sz w:val="32"/>
          <w:szCs w:val="32"/>
          <w:lang w:eastAsia="zh-CN"/>
        </w:rPr>
        <w:t>申报单位应当具备实施项目所必须的实施条件和所要求各项任务的能力，具有良好的信用记录、资金、财政状况和健全的管理制度，有固定工作场所和专人负责项目实施，在经营活动中没有重大违法记录，能遵守专项资金管理有关规定，能按时、保质保量完成项目任务。</w:t>
      </w:r>
      <w:r>
        <w:rPr>
          <w:rFonts w:hint="eastAsia" w:ascii="宋体" w:hAnsi="宋体" w:eastAsia="仿宋_GB2312"/>
          <w:color w:val="auto"/>
          <w:spacing w:val="-6"/>
          <w:sz w:val="32"/>
          <w:szCs w:val="32"/>
          <w:lang w:eastAsia="zh-CN"/>
        </w:rPr>
        <w:t>申报单位围绕战略性新兴产业集群，选取某一细分技术领域，开展高价值专利</w:t>
      </w:r>
      <w:r>
        <w:rPr>
          <w:rFonts w:hint="eastAsia" w:ascii="宋体" w:hAnsi="宋体" w:eastAsia="仿宋_GB2312"/>
          <w:color w:val="auto"/>
          <w:sz w:val="32"/>
          <w:szCs w:val="32"/>
          <w:lang w:eastAsia="zh-CN"/>
        </w:rPr>
        <w:t>培育，已经承担省、市、县同类型项目且尚未验收或验收不合格的，不得申报。申报单位已认定为国家级或省级新兴产业创新中心、制造业创新中心、技术创新中心、产学研协同创新中心、工程技术研究中心、工程实验室、重点实验室、省级企业技术中心等，上述中心需经国家相关部委或省级厅局认定。同一申报单位在全省各地市范围内限申报“</w:t>
      </w:r>
      <w:r>
        <w:rPr>
          <w:rFonts w:hint="eastAsia" w:ascii="宋体" w:hAnsi="宋体" w:eastAsia="仿宋_GB2312" w:cs="仿宋_GB2312"/>
          <w:color w:val="222222"/>
          <w:kern w:val="0"/>
          <w:sz w:val="32"/>
          <w:szCs w:val="32"/>
          <w:shd w:val="clear" w:color="auto" w:fill="FFFFFF"/>
          <w:lang w:val="en-US" w:eastAsia="zh-CN" w:bidi="ar-SA"/>
        </w:rPr>
        <w:t>广东省高价值专利培育布局中心建设项目</w:t>
      </w:r>
      <w:r>
        <w:rPr>
          <w:rFonts w:hint="eastAsia" w:ascii="宋体" w:hAnsi="宋体" w:eastAsia="仿宋_GB2312"/>
          <w:color w:val="auto"/>
          <w:sz w:val="32"/>
          <w:szCs w:val="32"/>
          <w:lang w:eastAsia="zh-CN"/>
        </w:rPr>
        <w:t>”不超过3个，如后续检查时发现有未遵守承诺的情况，取消该单位项目储备资格。</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jc w:val="both"/>
        <w:textAlignment w:val="auto"/>
        <w:rPr>
          <w:rFonts w:hint="eastAsia" w:ascii="宋体" w:hAnsi="宋体" w:eastAsia="黑体" w:cs="黑体"/>
          <w:color w:val="auto"/>
          <w:sz w:val="32"/>
          <w:szCs w:val="32"/>
          <w:u w:val="none"/>
          <w:lang w:eastAsia="zh-CN"/>
        </w:rPr>
      </w:pPr>
      <w:r>
        <w:rPr>
          <w:rFonts w:hint="eastAsia" w:ascii="宋体" w:hAnsi="宋体" w:eastAsia="黑体" w:cs="黑体"/>
          <w:color w:val="auto"/>
          <w:sz w:val="32"/>
          <w:szCs w:val="32"/>
          <w:u w:val="none"/>
          <w:lang w:eastAsia="zh-CN"/>
        </w:rPr>
        <w:t>五、申报材料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（一）《</w:t>
      </w:r>
      <w:r>
        <w:rPr>
          <w:rFonts w:hint="eastAsia" w:ascii="宋体" w:hAnsi="宋体" w:eastAsia="仿宋_GB2312" w:cs="仿宋_GB2312"/>
          <w:color w:val="auto"/>
          <w:sz w:val="32"/>
          <w:szCs w:val="32"/>
          <w:shd w:val="clear" w:color="auto" w:fill="FFFFFF"/>
          <w:lang w:eastAsia="zh-CN"/>
        </w:rPr>
        <w:t>202</w:t>
      </w:r>
      <w:r>
        <w:rPr>
          <w:rFonts w:hint="eastAsia" w:ascii="宋体" w:hAnsi="宋体" w:eastAsia="仿宋_GB2312" w:cs="仿宋_GB2312"/>
          <w:color w:val="auto"/>
          <w:sz w:val="32"/>
          <w:szCs w:val="32"/>
          <w:shd w:val="clear" w:color="auto" w:fill="FFFFFF"/>
          <w:lang w:val="en-US" w:eastAsia="zh-CN"/>
        </w:rPr>
        <w:t>7</w:t>
      </w:r>
      <w:r>
        <w:rPr>
          <w:rFonts w:hint="eastAsia" w:ascii="宋体" w:hAnsi="宋体" w:eastAsia="仿宋_GB2312" w:cs="仿宋_GB2312"/>
          <w:color w:val="auto"/>
          <w:sz w:val="32"/>
          <w:szCs w:val="32"/>
          <w:shd w:val="clear" w:color="auto" w:fill="FFFFFF"/>
          <w:lang w:eastAsia="zh-CN"/>
        </w:rPr>
        <w:t>年河源市知识产权</w:t>
      </w:r>
      <w:r>
        <w:rPr>
          <w:rFonts w:hint="eastAsia" w:ascii="宋体" w:hAnsi="宋体" w:eastAsia="仿宋_GB2312" w:cs="仿宋_GB2312"/>
          <w:color w:val="auto"/>
          <w:sz w:val="32"/>
          <w:szCs w:val="32"/>
          <w:lang w:val="en-US" w:eastAsia="zh-CN"/>
        </w:rPr>
        <w:t>促进类储备项目</w:t>
      </w:r>
      <w:r>
        <w:rPr>
          <w:rFonts w:hint="eastAsia" w:ascii="宋体" w:hAnsi="宋体" w:eastAsia="仿宋_GB2312" w:cs="仿宋_GB2312"/>
          <w:color w:val="222222"/>
          <w:spacing w:val="-17"/>
          <w:sz w:val="32"/>
          <w:szCs w:val="32"/>
          <w:shd w:val="clear" w:color="auto" w:fill="FFFFFF"/>
          <w:lang w:val="en-US" w:eastAsia="zh-CN"/>
        </w:rPr>
        <w:t>申报书</w:t>
      </w:r>
      <w:r>
        <w:rPr>
          <w:rFonts w:hint="eastAsia" w:ascii="宋体" w:hAnsi="宋体" w:eastAsia="仿宋_GB2312" w:cs="仿宋_GB2312"/>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（二）主体资格登记证明、银行开户许可证复印件；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w:t>
      </w:r>
      <w:r>
        <w:rPr>
          <w:rFonts w:hint="eastAsia" w:ascii="宋体" w:hAnsi="宋体" w:eastAsia="仿宋_GB2312" w:cs="仿宋_GB2312"/>
          <w:color w:val="auto"/>
          <w:sz w:val="32"/>
          <w:szCs w:val="32"/>
          <w:u w:val="none"/>
          <w:lang w:val="en-US" w:eastAsia="zh-CN"/>
        </w:rPr>
        <w:t>相关资质和经验证明材料；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（四）近两年的财务报表；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（五）其他证明申报单位条件及优势的佐证材料。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color w:val="auto"/>
          <w:sz w:val="32"/>
          <w:szCs w:val="32"/>
          <w:u w:val="none"/>
          <w:lang w:val="en-US" w:eastAsia="zh-CN"/>
        </w:rPr>
        <w:t>上述材料均需加盖公章并在</w:t>
      </w:r>
      <w:r>
        <w:rPr>
          <w:rFonts w:hint="eastAsia" w:ascii="宋体" w:hAnsi="宋体" w:eastAsia="仿宋_GB2312" w:cs="仿宋_GB2312"/>
          <w:color w:val="auto"/>
          <w:kern w:val="2"/>
          <w:sz w:val="32"/>
          <w:szCs w:val="32"/>
        </w:rPr>
        <w:t>申报</w:t>
      </w:r>
      <w:r>
        <w:rPr>
          <w:rFonts w:hint="eastAsia" w:ascii="宋体" w:hAnsi="宋体" w:eastAsia="仿宋_GB2312" w:cs="仿宋_GB2312"/>
          <w:color w:val="auto"/>
          <w:kern w:val="2"/>
          <w:sz w:val="32"/>
          <w:szCs w:val="32"/>
          <w:lang w:eastAsia="zh-CN"/>
        </w:rPr>
        <w:t>材料</w:t>
      </w:r>
      <w:r>
        <w:rPr>
          <w:rFonts w:hint="eastAsia" w:ascii="宋体" w:hAnsi="宋体" w:eastAsia="仿宋_GB2312" w:cs="仿宋_GB2312"/>
          <w:color w:val="auto"/>
          <w:sz w:val="32"/>
          <w:szCs w:val="32"/>
          <w:u w:val="none"/>
          <w:lang w:val="en-US" w:eastAsia="zh-CN"/>
        </w:rPr>
        <w:t>加盖骑缝章。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黑体" w:cs="Times New Roman"/>
          <w:color w:val="auto"/>
          <w:sz w:val="32"/>
          <w:szCs w:val="32"/>
          <w:lang w:val="en-US" w:eastAsia="zh-CN"/>
        </w:rPr>
        <w:t>六、</w:t>
      </w:r>
      <w:r>
        <w:rPr>
          <w:rFonts w:hint="eastAsia" w:ascii="宋体" w:hAnsi="宋体" w:eastAsia="黑体"/>
          <w:color w:val="auto"/>
          <w:sz w:val="32"/>
          <w:lang w:val="en-US" w:eastAsia="zh-CN"/>
        </w:rPr>
        <w:t>经费安排</w:t>
      </w:r>
      <w:r>
        <w:rPr>
          <w:rFonts w:hint="eastAsia" w:ascii="宋体" w:hAnsi="宋体" w:eastAsia="黑体"/>
          <w:color w:val="auto"/>
          <w:sz w:val="32"/>
          <w:lang w:eastAsia="zh-CN"/>
        </w:rPr>
        <w:t>及实施期限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u w:val="none"/>
          <w:lang w:val="en-US" w:eastAsia="zh-CN"/>
        </w:rPr>
        <w:t>支持项目1项，经费</w:t>
      </w:r>
      <w:r>
        <w:rPr>
          <w:rFonts w:hint="eastAsia" w:ascii="宋体" w:hAnsi="宋体" w:eastAsia="仿宋_GB2312" w:cs="仿宋_GB2312"/>
          <w:color w:val="auto"/>
          <w:sz w:val="32"/>
          <w:szCs w:val="32"/>
          <w:highlight w:val="none"/>
          <w:u w:val="none"/>
          <w:lang w:val="en-US" w:eastAsia="zh-CN"/>
        </w:rPr>
        <w:t>安排约30</w:t>
      </w:r>
      <w:r>
        <w:rPr>
          <w:rFonts w:hint="eastAsia" w:ascii="宋体" w:hAnsi="宋体" w:eastAsia="仿宋_GB2312" w:cs="仿宋_GB2312"/>
          <w:color w:val="auto"/>
          <w:sz w:val="32"/>
          <w:szCs w:val="32"/>
          <w:highlight w:val="none"/>
          <w:lang w:val="en-US" w:eastAsia="zh-CN"/>
        </w:rPr>
        <w:t>万元（经费根据最终批复预算为准）。所有项目任务原则上需</w:t>
      </w:r>
      <w:r>
        <w:rPr>
          <w:rFonts w:hint="eastAsia" w:ascii="宋体" w:hAnsi="宋体" w:eastAsia="仿宋_GB2312" w:cs="仿宋_GB2312"/>
          <w:color w:val="auto"/>
          <w:sz w:val="32"/>
          <w:szCs w:val="32"/>
          <w:lang w:val="en-US" w:eastAsia="zh-CN"/>
        </w:rPr>
        <w:t>在2027年完成。</w:t>
      </w:r>
    </w:p>
    <w:p>
      <w:pPr>
        <w:rPr>
          <w:rFonts w:hint="default" w:ascii="宋体" w:hAnsi="宋体"/>
          <w:lang w:val="en-US" w:eastAsia="zh-CN"/>
        </w:rPr>
      </w:pPr>
    </w:p>
    <w:p>
      <w:pPr>
        <w:pStyle w:val="2"/>
        <w:rPr>
          <w:rFonts w:hint="default" w:ascii="宋体" w:hAnsi="宋体"/>
          <w:lang w:val="en-US" w:eastAsia="zh-CN"/>
        </w:rPr>
      </w:pPr>
    </w:p>
    <w:p>
      <w:pPr>
        <w:rPr>
          <w:rFonts w:hint="default" w:ascii="宋体" w:hAnsi="宋体"/>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EC06B9"/>
    <w:rsid w:val="0FF391DE"/>
    <w:rsid w:val="134F33A5"/>
    <w:rsid w:val="13EFDE4A"/>
    <w:rsid w:val="183F467D"/>
    <w:rsid w:val="1EF9BE52"/>
    <w:rsid w:val="1FF43820"/>
    <w:rsid w:val="2F953BB8"/>
    <w:rsid w:val="33F3B335"/>
    <w:rsid w:val="3BF6C1A6"/>
    <w:rsid w:val="3FDF9E06"/>
    <w:rsid w:val="3FE92E5A"/>
    <w:rsid w:val="4A373BDD"/>
    <w:rsid w:val="4AE1664F"/>
    <w:rsid w:val="4AFE4993"/>
    <w:rsid w:val="4DF3FB60"/>
    <w:rsid w:val="55BFBC3A"/>
    <w:rsid w:val="57EFA898"/>
    <w:rsid w:val="5979A750"/>
    <w:rsid w:val="5CBE2D53"/>
    <w:rsid w:val="5DAB6C33"/>
    <w:rsid w:val="5EBE80F4"/>
    <w:rsid w:val="5FE27D72"/>
    <w:rsid w:val="63EBE531"/>
    <w:rsid w:val="66B69787"/>
    <w:rsid w:val="6BEEDA42"/>
    <w:rsid w:val="6F7BF25E"/>
    <w:rsid w:val="73D84459"/>
    <w:rsid w:val="73F70F8B"/>
    <w:rsid w:val="76B6CA33"/>
    <w:rsid w:val="76F9460C"/>
    <w:rsid w:val="77F5A8DE"/>
    <w:rsid w:val="7B8D2784"/>
    <w:rsid w:val="7BDA2EAF"/>
    <w:rsid w:val="7C5B029A"/>
    <w:rsid w:val="7CEF0F22"/>
    <w:rsid w:val="7CFD6031"/>
    <w:rsid w:val="7D7F83A0"/>
    <w:rsid w:val="7DFD4A1B"/>
    <w:rsid w:val="7EBFC7FC"/>
    <w:rsid w:val="7EFF135B"/>
    <w:rsid w:val="7F3D0036"/>
    <w:rsid w:val="7F5F38BE"/>
    <w:rsid w:val="7F61188F"/>
    <w:rsid w:val="7F7E2053"/>
    <w:rsid w:val="7F83B56C"/>
    <w:rsid w:val="7FC74CF7"/>
    <w:rsid w:val="7FEBE1A8"/>
    <w:rsid w:val="7FED1F1D"/>
    <w:rsid w:val="7FF32A96"/>
    <w:rsid w:val="7FF76C10"/>
    <w:rsid w:val="7FF99F15"/>
    <w:rsid w:val="8FDF3C3A"/>
    <w:rsid w:val="9B37CCC9"/>
    <w:rsid w:val="9EFF27A7"/>
    <w:rsid w:val="9FF68DC9"/>
    <w:rsid w:val="ADFE9005"/>
    <w:rsid w:val="B506154E"/>
    <w:rsid w:val="B73AA576"/>
    <w:rsid w:val="BD733FBD"/>
    <w:rsid w:val="BDEFFF2C"/>
    <w:rsid w:val="BEBADC76"/>
    <w:rsid w:val="BF3F990F"/>
    <w:rsid w:val="BFEF9D62"/>
    <w:rsid w:val="BFFB60FC"/>
    <w:rsid w:val="BFFFD932"/>
    <w:rsid w:val="C7AD8BD3"/>
    <w:rsid w:val="C9BC1AB0"/>
    <w:rsid w:val="DD6FFDCD"/>
    <w:rsid w:val="DEF92E05"/>
    <w:rsid w:val="DF1CB2D7"/>
    <w:rsid w:val="DF577723"/>
    <w:rsid w:val="DFF5AE9A"/>
    <w:rsid w:val="E37B4283"/>
    <w:rsid w:val="E523440F"/>
    <w:rsid w:val="E7C78FB0"/>
    <w:rsid w:val="E7DF7295"/>
    <w:rsid w:val="EAE74CB9"/>
    <w:rsid w:val="EDBF7A44"/>
    <w:rsid w:val="EEEDA419"/>
    <w:rsid w:val="EFCDE5CC"/>
    <w:rsid w:val="F0A34977"/>
    <w:rsid w:val="F1DEECDD"/>
    <w:rsid w:val="F4F49C19"/>
    <w:rsid w:val="F6CF3B17"/>
    <w:rsid w:val="F7F74333"/>
    <w:rsid w:val="FBBE6924"/>
    <w:rsid w:val="FBDE0107"/>
    <w:rsid w:val="FCBF4EC4"/>
    <w:rsid w:val="FDC3827A"/>
    <w:rsid w:val="FEA2FA1F"/>
    <w:rsid w:val="FFF7AF93"/>
    <w:rsid w:val="FFF9C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仿宋_GB2312"/>
      <w:snapToGrid w:val="0"/>
      <w:color w:val="000000"/>
      <w:kern w:val="0"/>
      <w:sz w:val="32"/>
      <w:szCs w:val="32"/>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河源市市场监管局</Company>
  <Pages>1</Pages>
  <Words>0</Words>
  <Characters>0</Characters>
  <Lines>0</Lines>
  <Paragraphs>0</Paragraphs>
  <TotalTime>3</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2025-07-18T10:07:00Z</dcterms:created>
  <dc:creator>LM</dc:creator>
  <cp:lastModifiedBy>fghf</cp:lastModifiedBy>
  <dcterms:modified xsi:type="dcterms:W3CDTF">2026-08-05T17:12:19Z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5146D2B49359676CE7A98168F0E12F6F</vt:lpwstr>
  </property>
</Properties>
</file>