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600" w:lineRule="exact"/>
        <w:jc w:val="both"/>
        <w:rPr>
          <w:rFonts w:hint="default" w:ascii="宋体" w:hAnsi="宋体" w:eastAsia="黑体" w:cs="黑体"/>
          <w:sz w:val="32"/>
          <w:szCs w:val="32"/>
          <w:lang w:val="en-US" w:eastAsia="zh-CN"/>
        </w:rPr>
      </w:pPr>
      <w:r>
        <w:rPr>
          <w:rFonts w:hint="eastAsia" w:ascii="宋体" w:hAnsi="宋体" w:eastAsia="黑体" w:cs="黑体"/>
          <w:sz w:val="32"/>
          <w:szCs w:val="32"/>
          <w:lang w:val="en-US" w:eastAsia="zh-CN"/>
        </w:rPr>
        <w:t>附件3</w:t>
      </w:r>
    </w:p>
    <w:p>
      <w:pPr>
        <w:keepNext w:val="0"/>
        <w:keepLines w:val="0"/>
        <w:pageBreakBefore w:val="0"/>
        <w:wordWrap/>
        <w:overflowPunct/>
        <w:topLinePunct w:val="0"/>
        <w:bidi w:val="0"/>
        <w:spacing w:line="600" w:lineRule="exact"/>
        <w:jc w:val="both"/>
        <w:rPr>
          <w:rFonts w:hint="eastAsia" w:ascii="宋体" w:hAnsi="宋体" w:eastAsia="仿宋_GB2312" w:cs="仿宋_GB2312"/>
          <w:sz w:val="32"/>
          <w:szCs w:val="32"/>
          <w:lang w:val="en-US" w:eastAsia="zh-CN"/>
        </w:rPr>
      </w:pPr>
    </w:p>
    <w:p>
      <w:pPr>
        <w:keepNext w:val="0"/>
        <w:keepLines w:val="0"/>
        <w:pageBreakBefore w:val="0"/>
        <w:wordWrap/>
        <w:overflowPunct/>
        <w:topLinePunct w:val="0"/>
        <w:bidi w:val="0"/>
        <w:spacing w:line="600" w:lineRule="exact"/>
        <w:jc w:val="center"/>
        <w:rPr>
          <w:rFonts w:hint="eastAsia" w:ascii="宋体" w:hAnsi="宋体" w:eastAsia="方正小标宋_GBK" w:cs="方正小标宋_GBK"/>
          <w:color w:val="222222"/>
          <w:kern w:val="0"/>
          <w:sz w:val="44"/>
          <w:szCs w:val="44"/>
          <w:shd w:val="clear" w:color="auto" w:fill="FFFFFF"/>
          <w:lang w:val="en-US" w:eastAsia="zh-CN" w:bidi="ar-SA"/>
        </w:rPr>
      </w:pPr>
      <w:r>
        <w:rPr>
          <w:rFonts w:hint="eastAsia" w:ascii="宋体" w:hAnsi="宋体" w:eastAsia="方正小标宋_GBK" w:cs="方正小标宋_GBK"/>
          <w:color w:val="222222"/>
          <w:kern w:val="0"/>
          <w:sz w:val="44"/>
          <w:szCs w:val="44"/>
          <w:shd w:val="clear" w:color="auto" w:fill="FFFFFF"/>
          <w:lang w:val="en-US" w:eastAsia="zh-CN" w:bidi="ar-SA"/>
        </w:rPr>
        <w:t>广东省商标品牌指导站建设项目</w:t>
      </w:r>
    </w:p>
    <w:p>
      <w:pPr>
        <w:keepNext w:val="0"/>
        <w:keepLines w:val="0"/>
        <w:pageBreakBefore w:val="0"/>
        <w:wordWrap/>
        <w:overflowPunct/>
        <w:topLinePunct w:val="0"/>
        <w:bidi w:val="0"/>
        <w:spacing w:line="600" w:lineRule="exact"/>
        <w:jc w:val="center"/>
        <w:rPr>
          <w:rFonts w:hint="eastAsia" w:ascii="宋体" w:hAnsi="宋体" w:eastAsia="方正小标宋_GBK" w:cs="方正小标宋_GBK"/>
          <w:color w:val="222222"/>
          <w:kern w:val="0"/>
          <w:sz w:val="44"/>
          <w:szCs w:val="44"/>
          <w:shd w:val="clear" w:color="auto" w:fill="FFFFFF"/>
          <w:lang w:val="en-US" w:eastAsia="zh-CN" w:bidi="ar-SA"/>
        </w:rPr>
      </w:pPr>
      <w:r>
        <w:rPr>
          <w:rFonts w:hint="eastAsia" w:ascii="宋体" w:hAnsi="宋体" w:eastAsia="方正小标宋_GBK" w:cs="方正小标宋_GBK"/>
          <w:color w:val="222222"/>
          <w:kern w:val="0"/>
          <w:sz w:val="44"/>
          <w:szCs w:val="44"/>
          <w:shd w:val="clear" w:color="auto" w:fill="FFFFFF"/>
          <w:lang w:val="en-US" w:eastAsia="zh-CN" w:bidi="ar-SA"/>
        </w:rPr>
        <w:t>申报指南</w:t>
      </w:r>
    </w:p>
    <w:p>
      <w:pPr>
        <w:keepNext w:val="0"/>
        <w:keepLines w:val="0"/>
        <w:pageBreakBefore w:val="0"/>
        <w:wordWrap/>
        <w:overflowPunct/>
        <w:topLinePunct w:val="0"/>
        <w:bidi w:val="0"/>
        <w:spacing w:line="600" w:lineRule="exact"/>
        <w:jc w:val="both"/>
        <w:rPr>
          <w:rFonts w:hint="eastAsia" w:ascii="宋体" w:hAnsi="宋体" w:eastAsia="仿宋_GB2312" w:cs="仿宋_GB2312"/>
          <w:color w:val="222222"/>
          <w:kern w:val="0"/>
          <w:sz w:val="32"/>
          <w:szCs w:val="32"/>
          <w:shd w:val="clear" w:color="auto" w:fill="FFFFFF"/>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黑体" w:cs="黑体"/>
          <w:color w:val="222222"/>
          <w:kern w:val="0"/>
          <w:sz w:val="32"/>
          <w:szCs w:val="32"/>
          <w:shd w:val="clear" w:color="auto" w:fill="FFFFFF"/>
          <w:lang w:val="en-US" w:eastAsia="zh-CN" w:bidi="ar-SA"/>
        </w:rPr>
      </w:pPr>
      <w:r>
        <w:rPr>
          <w:rFonts w:hint="eastAsia" w:ascii="宋体" w:hAnsi="宋体" w:eastAsia="黑体" w:cs="黑体"/>
          <w:color w:val="222222"/>
          <w:kern w:val="0"/>
          <w:sz w:val="32"/>
          <w:szCs w:val="32"/>
          <w:shd w:val="clear" w:color="auto" w:fill="FFFFFF"/>
          <w:lang w:val="en-US" w:eastAsia="zh-CN" w:bidi="ar-SA"/>
        </w:rPr>
        <w:t>一、项目名称</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广东省商标品牌指导站建设项目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黑体" w:cs="黑体"/>
          <w:color w:val="222222"/>
          <w:kern w:val="0"/>
          <w:sz w:val="32"/>
          <w:szCs w:val="32"/>
          <w:shd w:val="clear" w:color="auto" w:fill="FFFFFF"/>
          <w:lang w:val="en-US" w:eastAsia="zh-CN" w:bidi="ar-SA"/>
        </w:rPr>
      </w:pPr>
      <w:r>
        <w:rPr>
          <w:rFonts w:hint="eastAsia" w:ascii="宋体" w:hAnsi="宋体" w:eastAsia="黑体" w:cs="黑体"/>
          <w:color w:val="222222"/>
          <w:kern w:val="0"/>
          <w:sz w:val="32"/>
          <w:szCs w:val="32"/>
          <w:shd w:val="clear" w:color="auto" w:fill="FFFFFF"/>
          <w:lang w:val="en-US" w:eastAsia="zh-CN" w:bidi="ar-SA"/>
        </w:rPr>
        <w:t>二、项目目标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优化建设商标品牌指导站，支持现有商标品牌指导站优化健全管理制度，更充分发挥商标公益窗口、宣传阵地、联络平台作用，面向企业提供便捷高效的商标品牌建设指导和服务，鼓励外向型企业运用国际、国内商标制度开拓海外市场、拓展内销市场，打造更多自主商标品牌。服务支撑重点产业集群商标品牌建设工作，赋能区域品牌经济发展。</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项目任务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（一）优化建设商标品牌指导站，</w:t>
      </w:r>
      <w:r>
        <w:rPr>
          <w:rFonts w:hint="eastAsia" w:ascii="宋体" w:hAnsi="宋体" w:eastAsia="仿宋_GB2312" w:cs="仿宋_GB2312"/>
          <w:color w:val="auto"/>
          <w:sz w:val="32"/>
          <w:szCs w:val="32"/>
          <w:lang w:val="en-US" w:eastAsia="zh"/>
        </w:rPr>
        <w:t>建设</w:t>
      </w:r>
      <w:r>
        <w:rPr>
          <w:rFonts w:hint="eastAsia" w:ascii="宋体" w:hAnsi="宋体" w:eastAsia="仿宋_GB2312" w:cs="仿宋_GB2312"/>
          <w:color w:val="auto"/>
          <w:sz w:val="32"/>
          <w:szCs w:val="32"/>
          <w:lang w:val="en-US" w:eastAsia="zh-CN"/>
        </w:rPr>
        <w:t>1</w:t>
      </w:r>
      <w:r>
        <w:rPr>
          <w:rFonts w:hint="eastAsia" w:ascii="宋体" w:hAnsi="宋体" w:eastAsia="仿宋_GB2312" w:cs="仿宋_GB2312"/>
          <w:color w:val="auto"/>
          <w:sz w:val="32"/>
          <w:szCs w:val="32"/>
          <w:lang w:val="en-US" w:eastAsia="zh"/>
        </w:rPr>
        <w:t>个新的商标品牌指导站或对1个</w:t>
      </w:r>
      <w:r>
        <w:rPr>
          <w:rFonts w:hint="eastAsia" w:ascii="宋体" w:hAnsi="宋体" w:eastAsia="仿宋_GB2312" w:cs="仿宋_GB2312"/>
          <w:color w:val="auto"/>
          <w:sz w:val="32"/>
          <w:szCs w:val="32"/>
          <w:lang w:val="en-US" w:eastAsia="zh-CN"/>
        </w:rPr>
        <w:t>以上</w:t>
      </w:r>
      <w:r>
        <w:rPr>
          <w:rFonts w:hint="eastAsia" w:ascii="宋体" w:hAnsi="宋体" w:eastAsia="仿宋_GB2312" w:cs="仿宋_GB2312"/>
          <w:color w:val="auto"/>
          <w:sz w:val="32"/>
          <w:szCs w:val="32"/>
          <w:lang w:val="en-US" w:eastAsia="zh"/>
        </w:rPr>
        <w:t>现有商标品牌指导站进行升级完善</w:t>
      </w:r>
      <w:r>
        <w:rPr>
          <w:rFonts w:hint="eastAsia" w:ascii="宋体" w:hAnsi="宋体" w:eastAsia="仿宋_GB2312" w:cs="仿宋_GB2312"/>
          <w:color w:val="auto"/>
          <w:sz w:val="32"/>
          <w:szCs w:val="32"/>
          <w:lang w:val="en-US" w:eastAsia="zh-CN"/>
        </w:rPr>
        <w:t>，加强商标品牌建设相关指引宣传；形成不少于1个相关典型案例，争创全省商标品牌建设优秀案例。</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（二）优化</w:t>
      </w:r>
      <w:r>
        <w:rPr>
          <w:rFonts w:hint="eastAsia" w:ascii="仿宋_GB2312" w:hAnsi="仿宋_GB2312" w:eastAsia="仿宋_GB2312" w:cs="仿宋_GB2312"/>
          <w:color w:val="auto"/>
          <w:sz w:val="32"/>
          <w:szCs w:val="32"/>
          <w:lang w:val="en-US" w:eastAsia="zh-CN"/>
        </w:rPr>
        <w:t>商标品牌指导站服务</w:t>
      </w:r>
      <w:r>
        <w:rPr>
          <w:rFonts w:hint="eastAsia" w:ascii="宋体" w:hAnsi="宋体" w:eastAsia="仿宋_GB2312" w:cs="仿宋_GB2312"/>
          <w:color w:val="auto"/>
          <w:sz w:val="32"/>
          <w:szCs w:val="32"/>
          <w:lang w:val="en-US" w:eastAsia="zh-CN"/>
        </w:rPr>
        <w:t>，服务企业优化商标管理体系，为不少于30家企业提供商标国内和国际注册法律咨询，商标规范使用提示、自主品牌培育、商标运用指引等服务，服务企业提交商标注册30件以上，协助企业运用商标进行质押融资，完成不少于5笔商标质押融资业务。在不少于2个县区为区域特色产业提供特色商标品牌建设及运营发展报告各1份，协助开展集体商标、证明商标的管理运用保护和推广，服务相关市场经营主体提交商标注册10件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开展商标品牌运用培训，</w:t>
      </w:r>
      <w:r>
        <w:rPr>
          <w:rFonts w:hint="eastAsia" w:ascii="宋体" w:hAnsi="宋体" w:eastAsia="仿宋_GB2312" w:cs="仿宋_GB2312"/>
          <w:color w:val="auto"/>
          <w:sz w:val="32"/>
          <w:szCs w:val="32"/>
          <w:lang w:val="en-US" w:eastAsia="zh-CN"/>
        </w:rPr>
        <w:t>组织实施商标品牌培训计划，</w:t>
      </w:r>
      <w:r>
        <w:rPr>
          <w:rFonts w:hint="eastAsia" w:ascii="宋体" w:hAnsi="宋体" w:eastAsia="仿宋_GB2312" w:cs="仿宋_GB2312"/>
          <w:color w:val="auto"/>
          <w:sz w:val="32"/>
          <w:szCs w:val="32"/>
          <w:lang w:val="en-US" w:eastAsia="zh"/>
        </w:rPr>
        <w:t>开展商标品牌宣贯培训活动不少于2场，每场活动参加单位不少于20家，人数不少于40人</w:t>
      </w:r>
      <w:r>
        <w:rPr>
          <w:rFonts w:hint="eastAsia" w:ascii="宋体" w:hAnsi="宋体" w:eastAsia="仿宋_GB2312" w:cs="仿宋_GB2312"/>
          <w:color w:val="auto"/>
          <w:sz w:val="32"/>
          <w:szCs w:val="32"/>
          <w:lang w:val="en-US" w:eastAsia="zh-CN"/>
        </w:rPr>
        <w:t>，提升企业商标品牌建设能力；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val="en-US" w:eastAsia="zh-CN"/>
        </w:rPr>
        <w:t>推动商标品牌宣传推广，</w:t>
      </w:r>
      <w:r>
        <w:rPr>
          <w:rFonts w:hint="eastAsia" w:ascii="宋体" w:hAnsi="宋体" w:eastAsia="仿宋_GB2312" w:cs="仿宋_GB2312"/>
          <w:color w:val="auto"/>
          <w:sz w:val="32"/>
          <w:szCs w:val="32"/>
          <w:lang w:val="en-US" w:eastAsia="zh-CN"/>
        </w:rPr>
        <w:t>引导并协助组织10家以上企业参加各类各级展会，积极参与粤港澳大湾区高价值知识产权培育布局大赛、粤东西北知识产权创新运用大赛等各类赛事，</w:t>
      </w:r>
      <w:r>
        <w:rPr>
          <w:rFonts w:hint="eastAsia" w:ascii="宋体" w:hAnsi="宋体" w:eastAsia="仿宋_GB2312" w:cs="仿宋_GB2312"/>
          <w:color w:val="auto"/>
          <w:sz w:val="32"/>
          <w:szCs w:val="32"/>
          <w:lang w:val="en-US" w:eastAsia="zh"/>
        </w:rPr>
        <w:t>宣传推动本区域商标品牌</w:t>
      </w:r>
      <w:r>
        <w:rPr>
          <w:rFonts w:hint="eastAsia" w:ascii="宋体" w:hAnsi="宋体" w:eastAsia="仿宋_GB2312" w:cs="仿宋_GB2312"/>
          <w:color w:val="auto"/>
          <w:sz w:val="32"/>
          <w:szCs w:val="32"/>
          <w:lang w:val="en-US" w:eastAsia="zh-CN"/>
        </w:rPr>
        <w:t>，赋能区域品牌经济发展。制作发布1个商标品牌建设</w:t>
      </w:r>
      <w:bookmarkStart w:id="0" w:name="_GoBack"/>
      <w:bookmarkEnd w:id="0"/>
      <w:r>
        <w:rPr>
          <w:rFonts w:hint="eastAsia" w:ascii="宋体" w:hAnsi="宋体" w:eastAsia="仿宋_GB2312" w:cs="仿宋_GB2312"/>
          <w:color w:val="auto"/>
          <w:sz w:val="32"/>
          <w:szCs w:val="32"/>
          <w:lang w:val="en-US" w:eastAsia="zh-CN"/>
        </w:rPr>
        <w:t>宣传视频，形成1篇成效性总结宣传报道，在市级以上媒体上发布。</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四、申报主体及条件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（一）申报主体：省内依法登记注册、具备合法资质的商标品牌指导站、知识产权服务机构、相关产业领域行业组织等申报。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default"/>
          <w:lang w:val="en-US" w:eastAsia="zh-CN"/>
        </w:rPr>
      </w:pPr>
      <w:r>
        <w:rPr>
          <w:rFonts w:hint="eastAsia" w:ascii="宋体" w:hAnsi="宋体"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val="en-US" w:eastAsia="zh-CN"/>
        </w:rPr>
        <w:t>申报条件：申报单位应当具备实施项目所必须的实施条件和所要求各项任务的能力，具有良好的信用记录、资金、财政状况和健全的管理制度，有固定工作场所和专人负责项目实施，在经营活动中没有重大违法记录，能遵守专项资金管理有关规定，能按时、保质保量完成项目任务。已经承担省、市、县同类型项目且尚未验收或验收不合格的，不得申报。申</w:t>
      </w:r>
      <w:r>
        <w:rPr>
          <w:rFonts w:hint="eastAsia" w:ascii="仿宋_GB2312" w:hAnsi="仿宋_GB2312" w:eastAsia="仿宋_GB2312" w:cs="仿宋_GB2312"/>
          <w:color w:val="auto"/>
          <w:sz w:val="32"/>
          <w:szCs w:val="32"/>
          <w:u w:val="none"/>
          <w:lang w:val="en-US" w:eastAsia="zh-CN"/>
        </w:rPr>
        <w:t>报单位应熟悉商标注册、运用、保护和管理工作，能够组织各类专家和比较广泛的服务对象参与，拥有商标品牌推广经验。</w:t>
      </w:r>
      <w:r>
        <w:rPr>
          <w:rFonts w:hint="eastAsia" w:ascii="宋体" w:hAnsi="宋体" w:eastAsia="仿宋_GB2312"/>
          <w:color w:val="auto"/>
          <w:sz w:val="32"/>
          <w:szCs w:val="32"/>
          <w:lang w:eastAsia="zh-CN"/>
        </w:rPr>
        <w:t>同一申报单位在全省各地市范围内限申报“</w:t>
      </w:r>
      <w:r>
        <w:rPr>
          <w:rFonts w:hint="eastAsia" w:ascii="宋体" w:hAnsi="宋体" w:eastAsia="仿宋_GB2312" w:cs="仿宋_GB2312"/>
          <w:color w:val="auto"/>
          <w:sz w:val="32"/>
          <w:szCs w:val="32"/>
          <w:lang w:val="en-US" w:eastAsia="zh-CN"/>
        </w:rPr>
        <w:t>广东省商标品牌指导站建设项目</w:t>
      </w:r>
      <w:r>
        <w:rPr>
          <w:rFonts w:hint="eastAsia" w:ascii="宋体" w:hAnsi="宋体" w:eastAsia="仿宋_GB2312"/>
          <w:color w:val="auto"/>
          <w:sz w:val="32"/>
          <w:szCs w:val="32"/>
          <w:lang w:eastAsia="zh-CN"/>
        </w:rPr>
        <w:t>”不超过3个，如后续检查时发现有未遵守承诺的情况，取消该单位项目储备资格。</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五、申报材料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（一）《2027年河源市知识产权促进类储备项目申报书》；</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（二）主体资格登记证明、银行开户许可证复印件；</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（三）相关资质和经验证明材料；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（四）近两年的财务报表；</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（五）其他证明申报单位条件及优势的佐证材料。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上述材料均需加盖公章并在</w:t>
      </w:r>
      <w:r>
        <w:rPr>
          <w:rFonts w:hint="eastAsia" w:ascii="宋体" w:hAnsi="宋体" w:eastAsia="仿宋_GB2312" w:cs="仿宋_GB2312"/>
          <w:color w:val="auto"/>
          <w:kern w:val="2"/>
          <w:sz w:val="32"/>
          <w:szCs w:val="32"/>
        </w:rPr>
        <w:t>申报</w:t>
      </w:r>
      <w:r>
        <w:rPr>
          <w:rFonts w:hint="eastAsia" w:ascii="宋体" w:hAnsi="宋体" w:eastAsia="仿宋_GB2312" w:cs="仿宋_GB2312"/>
          <w:color w:val="auto"/>
          <w:kern w:val="2"/>
          <w:sz w:val="32"/>
          <w:szCs w:val="32"/>
          <w:lang w:eastAsia="zh-CN"/>
        </w:rPr>
        <w:t>材料</w:t>
      </w:r>
      <w:r>
        <w:rPr>
          <w:rFonts w:hint="eastAsia" w:ascii="宋体" w:hAnsi="宋体" w:eastAsia="仿宋_GB2312" w:cs="仿宋_GB2312"/>
          <w:color w:val="auto"/>
          <w:sz w:val="32"/>
          <w:szCs w:val="32"/>
          <w:lang w:val="en-US" w:eastAsia="zh-CN"/>
        </w:rPr>
        <w:t>加盖骑缝章。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黑体" w:cs="Times New Roman"/>
          <w:color w:val="auto"/>
          <w:sz w:val="32"/>
          <w:szCs w:val="32"/>
          <w:lang w:val="en-US" w:eastAsia="zh-CN"/>
        </w:rPr>
        <w:t>六、</w:t>
      </w:r>
      <w:r>
        <w:rPr>
          <w:rFonts w:hint="eastAsia" w:ascii="宋体" w:hAnsi="宋体" w:eastAsia="黑体"/>
          <w:color w:val="auto"/>
          <w:sz w:val="32"/>
          <w:lang w:val="en-US" w:eastAsia="zh-CN"/>
        </w:rPr>
        <w:t>经费安排</w:t>
      </w:r>
      <w:r>
        <w:rPr>
          <w:rFonts w:hint="eastAsia" w:ascii="宋体" w:hAnsi="宋体" w:eastAsia="黑体"/>
          <w:color w:val="auto"/>
          <w:sz w:val="32"/>
          <w:lang w:eastAsia="zh-CN"/>
        </w:rPr>
        <w:t>及实施期限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auto"/>
          <w:sz w:val="32"/>
          <w:szCs w:val="32"/>
          <w:u w:val="none"/>
          <w:lang w:val="en-US" w:eastAsia="zh-CN"/>
        </w:rPr>
        <w:t>支持</w:t>
      </w:r>
      <w:r>
        <w:rPr>
          <w:rFonts w:hint="eastAsia" w:ascii="宋体" w:hAnsi="宋体" w:eastAsia="仿宋_GB2312" w:cs="仿宋_GB2312"/>
          <w:color w:val="auto"/>
          <w:sz w:val="32"/>
          <w:szCs w:val="32"/>
          <w:lang w:val="en-US" w:eastAsia="zh-CN"/>
        </w:rPr>
        <w:t>项目1项，经费安排约20万元（经费根据最终批复预算为准）。所有项目任务原则上需在2027年完成。</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F9D1BC6"/>
    <w:multiLevelType w:val="singleLevel"/>
    <w:tmpl w:val="7F9D1BC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421A4"/>
    <w:rsid w:val="134F33A5"/>
    <w:rsid w:val="2DE33B6F"/>
    <w:rsid w:val="2F5F0CFF"/>
    <w:rsid w:val="306A0B76"/>
    <w:rsid w:val="363E6768"/>
    <w:rsid w:val="3AAD8075"/>
    <w:rsid w:val="3CDF6D30"/>
    <w:rsid w:val="3D6E61D4"/>
    <w:rsid w:val="3E7D3777"/>
    <w:rsid w:val="3FD267B0"/>
    <w:rsid w:val="3FEDF233"/>
    <w:rsid w:val="3FEF586C"/>
    <w:rsid w:val="463BD708"/>
    <w:rsid w:val="4A373BDD"/>
    <w:rsid w:val="55C7CF1F"/>
    <w:rsid w:val="56FF30CB"/>
    <w:rsid w:val="57D77EE0"/>
    <w:rsid w:val="5DBEB24F"/>
    <w:rsid w:val="5FB32D7B"/>
    <w:rsid w:val="5FD34736"/>
    <w:rsid w:val="5FD736AA"/>
    <w:rsid w:val="65FDF2C3"/>
    <w:rsid w:val="6FB7550C"/>
    <w:rsid w:val="6FBF070A"/>
    <w:rsid w:val="6FF77DFD"/>
    <w:rsid w:val="73D7E953"/>
    <w:rsid w:val="73D84459"/>
    <w:rsid w:val="73FF0718"/>
    <w:rsid w:val="746D59BA"/>
    <w:rsid w:val="777B5CA8"/>
    <w:rsid w:val="777BF49C"/>
    <w:rsid w:val="797EEC39"/>
    <w:rsid w:val="7AA890A0"/>
    <w:rsid w:val="7B5421A4"/>
    <w:rsid w:val="7BCFAA6C"/>
    <w:rsid w:val="7BEF4BD0"/>
    <w:rsid w:val="7DF79660"/>
    <w:rsid w:val="7DFF2930"/>
    <w:rsid w:val="7E6FFA23"/>
    <w:rsid w:val="7EF703C9"/>
    <w:rsid w:val="7F5FF134"/>
    <w:rsid w:val="7F7B5CED"/>
    <w:rsid w:val="7FD92B61"/>
    <w:rsid w:val="7FF77E1A"/>
    <w:rsid w:val="7FF7F2E0"/>
    <w:rsid w:val="83DCD670"/>
    <w:rsid w:val="8FBDBF1F"/>
    <w:rsid w:val="B78F454B"/>
    <w:rsid w:val="BBBE9160"/>
    <w:rsid w:val="BBFF30A3"/>
    <w:rsid w:val="C5DF7BFC"/>
    <w:rsid w:val="CAB728C7"/>
    <w:rsid w:val="CB9C9A59"/>
    <w:rsid w:val="CFFFE2CB"/>
    <w:rsid w:val="D48F5B68"/>
    <w:rsid w:val="D76F6144"/>
    <w:rsid w:val="DDBD204C"/>
    <w:rsid w:val="DDF6582A"/>
    <w:rsid w:val="DEDFF1C3"/>
    <w:rsid w:val="DFBEF175"/>
    <w:rsid w:val="E7BA7DB1"/>
    <w:rsid w:val="E9DB4922"/>
    <w:rsid w:val="EAF5B95B"/>
    <w:rsid w:val="F36ABA0C"/>
    <w:rsid w:val="F5D35B51"/>
    <w:rsid w:val="F7977D32"/>
    <w:rsid w:val="F7FFC193"/>
    <w:rsid w:val="F9FB0F95"/>
    <w:rsid w:val="FB9F4F05"/>
    <w:rsid w:val="FBF7792D"/>
    <w:rsid w:val="FDB20E97"/>
    <w:rsid w:val="FDFFCF68"/>
    <w:rsid w:val="FE47F439"/>
    <w:rsid w:val="FE5D51D2"/>
    <w:rsid w:val="FE76EFC0"/>
    <w:rsid w:val="FEBCD655"/>
    <w:rsid w:val="FED44EA7"/>
    <w:rsid w:val="FEDF5E11"/>
    <w:rsid w:val="FF9C0D7F"/>
    <w:rsid w:val="FFFB109F"/>
    <w:rsid w:val="FFFF5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仿宋_GB2312"/>
      <w:snapToGrid w:val="0"/>
      <w:color w:val="000000"/>
      <w:kern w:val="0"/>
      <w:sz w:val="32"/>
      <w:szCs w:val="32"/>
      <w:lang w:val="en-US" w:eastAsia="en-US" w:bidi="ar-SA"/>
    </w:rPr>
  </w:style>
  <w:style w:type="paragraph" w:styleId="2">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河源市市场监管局</Company>
  <Pages>1</Pages>
  <Words>0</Words>
  <Characters>0</Characters>
  <Lines>0</Lines>
  <Paragraphs>0</Paragraphs>
  <TotalTime>2</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2025-07-18T17:16:00Z</dcterms:created>
  <dc:creator>LM</dc:creator>
  <cp:lastModifiedBy>fghf</cp:lastModifiedBy>
  <dcterms:modified xsi:type="dcterms:W3CDTF">2026-08-11T16:12:51Z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A1F04A61EE364D90903E3111A873AA31_12</vt:lpwstr>
  </property>
</Properties>
</file>