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spacing w:line="600" w:lineRule="exact"/>
        <w:jc w:val="both"/>
        <w:rPr>
          <w:rFonts w:hint="default" w:ascii="宋体" w:hAnsi="宋体" w:eastAsia="黑体" w:cs="黑体"/>
          <w:sz w:val="32"/>
          <w:szCs w:val="32"/>
          <w:lang w:val="en-US" w:eastAsia="zh-CN"/>
        </w:rPr>
      </w:pPr>
      <w:r>
        <w:rPr>
          <w:rFonts w:hint="eastAsia" w:ascii="宋体" w:hAnsi="宋体" w:eastAsia="黑体" w:cs="黑体"/>
          <w:sz w:val="32"/>
          <w:szCs w:val="32"/>
          <w:lang w:val="en-US" w:eastAsia="zh-CN"/>
        </w:rPr>
        <w:t>附件2</w:t>
      </w:r>
    </w:p>
    <w:p>
      <w:pPr>
        <w:keepNext w:val="0"/>
        <w:keepLines w:val="0"/>
        <w:pageBreakBefore w:val="0"/>
        <w:wordWrap/>
        <w:overflowPunct/>
        <w:topLinePunct w:val="0"/>
        <w:bidi w:val="0"/>
        <w:spacing w:line="600" w:lineRule="exact"/>
        <w:rPr>
          <w:rFonts w:hint="eastAsia" w:ascii="宋体" w:hAnsi="宋体" w:eastAsia="仿宋_GB2312" w:cs="仿宋_GB2312"/>
          <w:sz w:val="32"/>
          <w:szCs w:val="32"/>
          <w:lang w:val="en-US" w:eastAsia="zh-CN"/>
        </w:rPr>
      </w:pPr>
    </w:p>
    <w:p>
      <w:pPr>
        <w:keepNext w:val="0"/>
        <w:keepLines w:val="0"/>
        <w:pageBreakBefore w:val="0"/>
        <w:wordWrap/>
        <w:overflowPunct/>
        <w:topLinePunct w:val="0"/>
        <w:bidi w:val="0"/>
        <w:spacing w:line="600" w:lineRule="exact"/>
        <w:jc w:val="center"/>
        <w:rPr>
          <w:rFonts w:hint="eastAsia" w:ascii="宋体" w:hAnsi="宋体" w:eastAsia="方正小标宋_GBK" w:cs="方正小标宋_GBK"/>
          <w:color w:val="222222"/>
          <w:kern w:val="0"/>
          <w:sz w:val="44"/>
          <w:szCs w:val="44"/>
          <w:shd w:val="clear" w:color="auto" w:fill="FFFFFF"/>
          <w:lang w:val="en-US" w:eastAsia="zh-CN" w:bidi="ar-SA"/>
        </w:rPr>
      </w:pPr>
      <w:r>
        <w:rPr>
          <w:rFonts w:hint="eastAsia" w:ascii="宋体" w:hAnsi="宋体" w:eastAsia="方正小标宋_GBK" w:cs="方正小标宋_GBK"/>
          <w:color w:val="222222"/>
          <w:kern w:val="0"/>
          <w:sz w:val="44"/>
          <w:szCs w:val="44"/>
          <w:shd w:val="clear" w:color="auto" w:fill="FFFFFF"/>
          <w:lang w:val="en-US" w:eastAsia="zh-CN" w:bidi="ar-SA"/>
        </w:rPr>
        <w:t>广东省企业经营研发活动专利导航项目</w:t>
      </w:r>
    </w:p>
    <w:p>
      <w:pPr>
        <w:keepNext w:val="0"/>
        <w:keepLines w:val="0"/>
        <w:pageBreakBefore w:val="0"/>
        <w:wordWrap/>
        <w:overflowPunct/>
        <w:topLinePunct w:val="0"/>
        <w:bidi w:val="0"/>
        <w:spacing w:line="600" w:lineRule="exact"/>
        <w:jc w:val="center"/>
        <w:rPr>
          <w:rFonts w:hint="eastAsia" w:ascii="宋体" w:hAnsi="宋体" w:eastAsia="仿宋_GB2312" w:cs="仿宋_GB2312"/>
          <w:sz w:val="32"/>
          <w:szCs w:val="32"/>
          <w:lang w:val="en-US" w:eastAsia="zh-CN"/>
        </w:rPr>
      </w:pPr>
      <w:r>
        <w:rPr>
          <w:rFonts w:hint="eastAsia" w:ascii="宋体" w:hAnsi="宋体" w:eastAsia="方正小标宋_GBK" w:cs="方正小标宋_GBK"/>
          <w:color w:val="222222"/>
          <w:kern w:val="0"/>
          <w:sz w:val="44"/>
          <w:szCs w:val="44"/>
          <w:shd w:val="clear" w:color="auto" w:fill="FFFFFF"/>
          <w:lang w:val="en-US" w:eastAsia="zh-CN" w:bidi="ar-SA"/>
        </w:rPr>
        <w:t>申报指南</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黑体" w:cs="黑体"/>
          <w:color w:val="auto"/>
          <w:sz w:val="32"/>
          <w:szCs w:val="32"/>
          <w:u w:val="none"/>
          <w:lang w:val="en-US" w:eastAsia="zh-CN"/>
        </w:rPr>
      </w:pP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黑体" w:cs="黑体"/>
          <w:b/>
          <w:bCs/>
          <w:color w:val="auto"/>
          <w:sz w:val="32"/>
          <w:szCs w:val="32"/>
          <w:u w:val="none"/>
          <w:lang w:val="en-US" w:eastAsia="zh-CN"/>
        </w:rPr>
      </w:pPr>
      <w:r>
        <w:rPr>
          <w:rFonts w:hint="eastAsia" w:ascii="宋体" w:hAnsi="宋体" w:eastAsia="黑体" w:cs="黑体"/>
          <w:color w:val="auto"/>
          <w:sz w:val="32"/>
          <w:szCs w:val="32"/>
          <w:u w:val="none"/>
          <w:lang w:val="en-US" w:eastAsia="zh-CN"/>
        </w:rPr>
        <w:t>一、项目名称</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广东省企业经营研发活动专利导航项目</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黑体" w:cs="黑体"/>
          <w:color w:val="auto"/>
          <w:sz w:val="32"/>
          <w:szCs w:val="32"/>
          <w:u w:val="none"/>
          <w:lang w:eastAsia="zh-CN"/>
        </w:rPr>
      </w:pPr>
      <w:r>
        <w:rPr>
          <w:rFonts w:hint="eastAsia" w:ascii="宋体" w:hAnsi="宋体" w:eastAsia="黑体" w:cs="黑体"/>
          <w:color w:val="auto"/>
          <w:sz w:val="32"/>
          <w:szCs w:val="32"/>
          <w:u w:val="none"/>
          <w:lang w:eastAsia="zh-CN"/>
        </w:rPr>
        <w:t>二、项目目标</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eastAsia="zh-CN"/>
        </w:rPr>
      </w:pPr>
      <w:r>
        <w:rPr>
          <w:rFonts w:hint="eastAsia" w:ascii="宋体" w:hAnsi="宋体" w:eastAsia="仿宋_GB2312" w:cs="仿宋_GB2312"/>
          <w:color w:val="auto"/>
          <w:sz w:val="32"/>
          <w:szCs w:val="32"/>
          <w:lang w:val="en-US" w:eastAsia="zh-CN"/>
        </w:rPr>
        <w:t>聚焦我省重点培育发展的新一代信息技术、生物、高端装备制造、新材料、数字创意、新能源、新能源汽车、节能环保、数字创意、航空航天、海洋装备等战略性新兴产业领域，</w:t>
      </w:r>
      <w:r>
        <w:rPr>
          <w:rFonts w:hint="eastAsia" w:ascii="宋体" w:hAnsi="宋体" w:eastAsia="仿宋_GB2312" w:cs="仿宋_GB2312"/>
          <w:color w:val="auto"/>
          <w:sz w:val="32"/>
          <w:szCs w:val="32"/>
          <w:lang w:eastAsia="zh-CN"/>
        </w:rPr>
        <w:t>未来产业领域、战略科技力量，开展支撑</w:t>
      </w:r>
      <w:r>
        <w:rPr>
          <w:rFonts w:hint="eastAsia" w:ascii="宋体" w:hAnsi="宋体" w:eastAsia="仿宋_GB2312" w:cs="仿宋_GB2312"/>
          <w:color w:val="auto"/>
          <w:sz w:val="32"/>
          <w:szCs w:val="32"/>
        </w:rPr>
        <w:t>企业技术创新、专利布局等决策的专利导航，</w:t>
      </w:r>
      <w:r>
        <w:rPr>
          <w:rFonts w:hint="eastAsia" w:ascii="宋体" w:hAnsi="宋体" w:eastAsia="仿宋_GB2312" w:cs="仿宋_GB2312"/>
          <w:color w:val="auto"/>
          <w:sz w:val="32"/>
          <w:szCs w:val="32"/>
          <w:lang w:eastAsia="zh-CN"/>
        </w:rPr>
        <w:t>助力重点企业技术创新发展。</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u w:val="none"/>
          <w:lang w:eastAsia="zh-CN"/>
        </w:rPr>
      </w:pPr>
      <w:r>
        <w:rPr>
          <w:rFonts w:hint="eastAsia" w:ascii="宋体" w:hAnsi="宋体" w:eastAsia="黑体" w:cs="黑体"/>
          <w:color w:val="auto"/>
          <w:sz w:val="32"/>
          <w:szCs w:val="32"/>
          <w:u w:val="none"/>
          <w:lang w:val="en-US" w:eastAsia="zh-CN"/>
        </w:rPr>
        <w:t>三、项目</w:t>
      </w:r>
      <w:r>
        <w:rPr>
          <w:rFonts w:hint="eastAsia" w:ascii="宋体" w:hAnsi="宋体" w:eastAsia="黑体" w:cs="黑体"/>
          <w:color w:val="auto"/>
          <w:sz w:val="32"/>
          <w:szCs w:val="32"/>
          <w:u w:val="none"/>
          <w:lang w:eastAsia="zh-CN"/>
        </w:rPr>
        <w:t>任务</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一）支持企业开展专利导航，开展企业专利导航需求调研，选择不少于2家重点企业至少2个关键核心技术领域开展专利导航分析，协助企业建立健全常态化专利导航工作机制，形成企业专利导航分析报告和研究成果核心精华专报各1份；</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（二）加强专利专题数据库建设，建立企业专利信息专题数据库1套，利用权威的数据源采集、梳理专利信息，数据库具备在线展示、查询和更新功能；</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三）加强专利导航成果运用，将企业专利导航成果在国家专利导航综合服务平台上完成备案，促进实现专利导航成果在企业经营研发决策中的实际运用。面向相关创新主体和知识产权服务机构组织开展专利导航成果发布活动1次，参加的创新主体不少于40家；充分发挥专利导航在技术研发、专利布局等方面的决策支撑作用，培育高价值发明专利5件（含）以上，形成不少于1个企业运用专利导航成果解决实际研发或经营难题的案例总结；</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（四）开展专利导航专题培</w:t>
      </w:r>
      <w:bookmarkStart w:id="0" w:name="_GoBack"/>
      <w:bookmarkEnd w:id="0"/>
      <w:r>
        <w:rPr>
          <w:rFonts w:hint="eastAsia" w:ascii="宋体" w:hAnsi="宋体" w:eastAsia="仿宋_GB2312" w:cs="仿宋_GB2312"/>
          <w:color w:val="auto"/>
          <w:sz w:val="32"/>
          <w:szCs w:val="32"/>
          <w:lang w:val="en-US" w:eastAsia="zh-CN"/>
        </w:rPr>
        <w:t>训，面向重点企业组织开展专利导航专题培训活动不少于2场，内容包括但不限于专利导航实务、专利检索分析、专利挖掘、高价值专利培育运营等主题，以推广普及专利导航工作指南和导航技能，增强企业知识产权分析与运用能力，每场活动参加单位不少于10家，人数不少于20人；</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（五）加强专利协同创新及运营，引导企业利用导航成果开展专利运营，</w:t>
      </w:r>
      <w:r>
        <w:rPr>
          <w:rFonts w:hint="eastAsia" w:ascii="宋体" w:hAnsi="宋体" w:eastAsia="仿宋_GB2312" w:cs="仿宋_GB2312"/>
          <w:color w:val="auto"/>
          <w:sz w:val="32"/>
          <w:szCs w:val="32"/>
          <w:u w:val="none"/>
          <w:lang w:val="en-US" w:eastAsia="zh-CN"/>
        </w:rPr>
        <w:t>推动企业积极开展知识产权优势示范创建工作，参与中国/广东专利奖等国家、省知识产权相关评奖，粤港澳大湾区高价值知识产权培育布局大赛、粤东西北知识产权创新运用大赛、知识产权交易博览会等各类赛事、大型展会活动。</w:t>
      </w:r>
    </w:p>
    <w:p>
      <w:pPr>
        <w:keepNext w:val="0"/>
        <w:keepLines w:val="0"/>
        <w:pageBreakBefore w:val="0"/>
        <w:widowControl w:val="0"/>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eastAsia" w:ascii="宋体" w:hAnsi="宋体" w:eastAsia="黑体" w:cs="黑体"/>
          <w:color w:val="auto"/>
          <w:sz w:val="32"/>
          <w:szCs w:val="32"/>
          <w:u w:val="none"/>
          <w:lang w:eastAsia="zh-CN"/>
        </w:rPr>
      </w:pPr>
      <w:r>
        <w:rPr>
          <w:rFonts w:hint="eastAsia" w:ascii="宋体" w:hAnsi="宋体" w:eastAsia="黑体" w:cs="黑体"/>
          <w:color w:val="auto"/>
          <w:sz w:val="32"/>
          <w:szCs w:val="32"/>
          <w:u w:val="none"/>
          <w:lang w:eastAsia="zh-CN"/>
        </w:rPr>
        <w:t>四、申报主体及条件</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一）申报主体：省内依法登记注册、具备合法资质的相关产业园区、技术创新中心、产学研基地；高等院校、科研机构、医疗机构、重点实验室、企业；各类技术转移转化中心或平台、知识产权服务机构、相关产业领域行业组织等申报。</w:t>
      </w:r>
    </w:p>
    <w:p>
      <w:pPr>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lang w:val="en-US" w:eastAsia="zh-CN"/>
        </w:rPr>
        <w:t>（二）申报条件：申报单位应当具备实施项目所必须的实施条件和所要求各项任务的能力，具有良好的信用记录、资金、财政状况和健全的管理制度，有固定工作场所和专人负责项目实施，在经营活动中没有重大违法记录，能遵守专项资金管理有关规定，能按时、保质保量完成项目任务。已经承担省、市、县同类型项目且尚未验收或验收不合格的，不得申报。申报单位应熟悉《专利导航指南》系列国家标准和《数字化时代专利导航工作指南》地方标准，具备专利信息资源开发利用与分析的能力和经验，具备为相关产业、企业提供专利导航服务的资源、基础和条件，</w:t>
      </w:r>
      <w:r>
        <w:rPr>
          <w:rFonts w:hint="default" w:ascii="宋体" w:hAnsi="宋体" w:eastAsia="仿宋_GB2312" w:cs="仿宋_GB2312"/>
          <w:color w:val="auto"/>
          <w:sz w:val="32"/>
          <w:szCs w:val="32"/>
          <w:lang w:val="en-US" w:eastAsia="zh-CN"/>
        </w:rPr>
        <w:t>具有丰富的</w:t>
      </w:r>
      <w:r>
        <w:rPr>
          <w:rFonts w:hint="eastAsia" w:ascii="宋体" w:hAnsi="宋体" w:eastAsia="仿宋_GB2312" w:cs="仿宋_GB2312"/>
          <w:color w:val="auto"/>
          <w:sz w:val="32"/>
          <w:szCs w:val="32"/>
          <w:lang w:val="en-US" w:eastAsia="zh-CN"/>
        </w:rPr>
        <w:t>开展</w:t>
      </w:r>
      <w:r>
        <w:rPr>
          <w:rFonts w:hint="default" w:ascii="宋体" w:hAnsi="宋体" w:eastAsia="仿宋_GB2312" w:cs="仿宋_GB2312"/>
          <w:color w:val="auto"/>
          <w:sz w:val="32"/>
          <w:szCs w:val="32"/>
          <w:lang w:val="en-US" w:eastAsia="zh-CN"/>
        </w:rPr>
        <w:t>专利导航</w:t>
      </w:r>
      <w:r>
        <w:rPr>
          <w:rFonts w:hint="eastAsia" w:ascii="宋体" w:hAnsi="宋体" w:eastAsia="仿宋_GB2312" w:cs="仿宋_GB2312"/>
          <w:color w:val="auto"/>
          <w:sz w:val="32"/>
          <w:szCs w:val="32"/>
          <w:lang w:val="en-US" w:eastAsia="zh-CN"/>
        </w:rPr>
        <w:t>相关</w:t>
      </w:r>
      <w:r>
        <w:rPr>
          <w:rFonts w:hint="default" w:ascii="宋体" w:hAnsi="宋体" w:eastAsia="仿宋_GB2312" w:cs="仿宋_GB2312"/>
          <w:color w:val="auto"/>
          <w:sz w:val="32"/>
          <w:szCs w:val="32"/>
          <w:lang w:val="en-US" w:eastAsia="zh-CN"/>
        </w:rPr>
        <w:t>项目工作经验</w:t>
      </w:r>
      <w:r>
        <w:rPr>
          <w:rFonts w:hint="eastAsia" w:ascii="宋体" w:hAnsi="宋体" w:eastAsia="仿宋_GB2312" w:cs="仿宋_GB2312"/>
          <w:color w:val="auto"/>
          <w:sz w:val="32"/>
          <w:szCs w:val="32"/>
          <w:lang w:val="en-US" w:eastAsia="zh-CN"/>
        </w:rPr>
        <w:t>。</w:t>
      </w:r>
      <w:r>
        <w:rPr>
          <w:rFonts w:hint="eastAsia" w:ascii="宋体" w:hAnsi="宋体" w:eastAsia="仿宋_GB2312"/>
          <w:color w:val="auto"/>
          <w:sz w:val="32"/>
          <w:szCs w:val="32"/>
          <w:lang w:eastAsia="zh-CN"/>
        </w:rPr>
        <w:t>同一申报单位在全省各地市范围内限申报“</w:t>
      </w:r>
      <w:r>
        <w:rPr>
          <w:rFonts w:hint="eastAsia" w:ascii="宋体" w:hAnsi="宋体" w:eastAsia="仿宋_GB2312" w:cs="仿宋_GB2312"/>
          <w:color w:val="auto"/>
          <w:sz w:val="32"/>
          <w:szCs w:val="32"/>
          <w:lang w:val="en-US" w:eastAsia="zh-CN"/>
        </w:rPr>
        <w:t>广东省企业经营研发活动专利导航项目”不超过3个，如后续检查时发现有未遵守承诺的情况，取</w:t>
      </w:r>
      <w:r>
        <w:rPr>
          <w:rFonts w:hint="eastAsia" w:ascii="宋体" w:hAnsi="宋体" w:eastAsia="仿宋_GB2312"/>
          <w:color w:val="auto"/>
          <w:sz w:val="32"/>
          <w:szCs w:val="32"/>
          <w:lang w:eastAsia="zh-CN"/>
        </w:rPr>
        <w:t>消该单位项目储备资格。</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黑体" w:cs="黑体"/>
          <w:color w:val="auto"/>
          <w:sz w:val="32"/>
          <w:szCs w:val="32"/>
          <w:u w:val="none"/>
          <w:lang w:eastAsia="zh-CN"/>
        </w:rPr>
      </w:pPr>
      <w:r>
        <w:rPr>
          <w:rFonts w:hint="eastAsia" w:ascii="宋体" w:hAnsi="宋体" w:eastAsia="黑体" w:cs="黑体"/>
          <w:color w:val="auto"/>
          <w:sz w:val="32"/>
          <w:szCs w:val="32"/>
          <w:u w:val="none"/>
          <w:lang w:eastAsia="zh-CN"/>
        </w:rPr>
        <w:t>五、申报材料</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（一）《2027年河源市知识产权促进类储备项目申报书》；</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（二）主体资格登记证明、银行开户许可证复印件；</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（三）相关资质和经验证明材料；</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（四）近两年的财务报表；</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（五）其他证明申报单位条件及优势的佐证材料。</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上述材料均需加盖公章并在</w:t>
      </w:r>
      <w:r>
        <w:rPr>
          <w:rFonts w:hint="eastAsia" w:ascii="宋体" w:hAnsi="宋体" w:eastAsia="仿宋_GB2312" w:cs="仿宋_GB2312"/>
          <w:color w:val="auto"/>
          <w:kern w:val="2"/>
          <w:sz w:val="32"/>
          <w:szCs w:val="32"/>
        </w:rPr>
        <w:t>申报</w:t>
      </w:r>
      <w:r>
        <w:rPr>
          <w:rFonts w:hint="eastAsia" w:ascii="宋体" w:hAnsi="宋体" w:eastAsia="仿宋_GB2312" w:cs="仿宋_GB2312"/>
          <w:color w:val="auto"/>
          <w:kern w:val="2"/>
          <w:sz w:val="32"/>
          <w:szCs w:val="32"/>
          <w:lang w:eastAsia="zh-CN"/>
        </w:rPr>
        <w:t>材料</w:t>
      </w:r>
      <w:r>
        <w:rPr>
          <w:rFonts w:hint="eastAsia" w:ascii="宋体" w:hAnsi="宋体" w:eastAsia="仿宋_GB2312" w:cs="仿宋_GB2312"/>
          <w:color w:val="auto"/>
          <w:sz w:val="32"/>
          <w:szCs w:val="32"/>
          <w:lang w:val="en-US" w:eastAsia="zh-CN"/>
        </w:rPr>
        <w:t>加盖骑缝章。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宋体" w:hAnsi="宋体" w:eastAsia="仿宋_GB2312" w:cs="仿宋_GB2312"/>
          <w:color w:val="auto"/>
          <w:sz w:val="32"/>
          <w:szCs w:val="32"/>
          <w:u w:val="none"/>
          <w:lang w:val="en-US" w:eastAsia="zh-CN"/>
        </w:rPr>
      </w:pPr>
      <w:r>
        <w:rPr>
          <w:rFonts w:hint="eastAsia" w:ascii="宋体" w:hAnsi="宋体" w:eastAsia="黑体" w:cs="Times New Roman"/>
          <w:color w:val="auto"/>
          <w:sz w:val="32"/>
          <w:szCs w:val="32"/>
          <w:lang w:val="en-US" w:eastAsia="zh-CN"/>
        </w:rPr>
        <w:t>六、</w:t>
      </w:r>
      <w:r>
        <w:rPr>
          <w:rFonts w:hint="eastAsia" w:ascii="宋体" w:hAnsi="宋体" w:eastAsia="黑体"/>
          <w:color w:val="auto"/>
          <w:sz w:val="32"/>
          <w:lang w:val="en-US" w:eastAsia="zh-CN"/>
        </w:rPr>
        <w:t>经费安排</w:t>
      </w:r>
      <w:r>
        <w:rPr>
          <w:rFonts w:hint="eastAsia" w:ascii="宋体" w:hAnsi="宋体" w:eastAsia="黑体"/>
          <w:color w:val="auto"/>
          <w:sz w:val="32"/>
          <w:lang w:eastAsia="zh-CN"/>
        </w:rPr>
        <w:t>及实施期限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u w:val="none"/>
          <w:lang w:val="en-US" w:eastAsia="zh-CN"/>
        </w:rPr>
        <w:t>支持项目1项，经费</w:t>
      </w:r>
      <w:r>
        <w:rPr>
          <w:rFonts w:hint="eastAsia" w:ascii="宋体" w:hAnsi="宋体" w:eastAsia="仿宋_GB2312" w:cs="仿宋_GB2312"/>
          <w:color w:val="auto"/>
          <w:sz w:val="32"/>
          <w:szCs w:val="32"/>
          <w:lang w:val="en-US" w:eastAsia="zh-CN"/>
        </w:rPr>
        <w:t>安排约20万元（经费根据最终批复预算为准）。所有项目任务原则上需在2027年完成。</w:t>
      </w:r>
    </w:p>
    <w:p>
      <w:pPr>
        <w:rPr>
          <w:rFonts w:hint="default" w:ascii="宋体" w:hAnsi="宋体"/>
          <w:lang w:val="en-US" w:eastAsia="zh-CN"/>
        </w:rPr>
      </w:pPr>
    </w:p>
    <w:p>
      <w:pPr>
        <w:rPr>
          <w:rFonts w:hint="default" w:ascii="宋体" w:hAnsi="宋体" w:eastAsia="仿宋_GB2312" w:cs="仿宋_GB2312"/>
          <w:color w:val="222222"/>
          <w:kern w:val="0"/>
          <w:sz w:val="32"/>
          <w:szCs w:val="32"/>
          <w:shd w:val="clear" w:color="auto" w:fill="FFFFFF"/>
          <w:lang w:val="en-US" w:eastAsia="zh-CN" w:bidi="ar-SA"/>
        </w:rPr>
      </w:pP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default" w:ascii="宋体" w:hAnsi="宋体" w:eastAsia="仿宋_GB2312" w:cs="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862F2A"/>
    <w:rsid w:val="03387179"/>
    <w:rsid w:val="06772D6E"/>
    <w:rsid w:val="0B7A7A8C"/>
    <w:rsid w:val="0F9D98EC"/>
    <w:rsid w:val="134F33A5"/>
    <w:rsid w:val="1A414E21"/>
    <w:rsid w:val="1E826BC1"/>
    <w:rsid w:val="1FC3680F"/>
    <w:rsid w:val="1FFCFE47"/>
    <w:rsid w:val="27FD2F2D"/>
    <w:rsid w:val="2BFFD35B"/>
    <w:rsid w:val="2FF7A4D7"/>
    <w:rsid w:val="3F1F11A7"/>
    <w:rsid w:val="3FEF63BA"/>
    <w:rsid w:val="4A373BDD"/>
    <w:rsid w:val="4A3DFD4F"/>
    <w:rsid w:val="4DFE0224"/>
    <w:rsid w:val="547ED6C0"/>
    <w:rsid w:val="5B9F5D81"/>
    <w:rsid w:val="5BEFB8AD"/>
    <w:rsid w:val="5D862F2A"/>
    <w:rsid w:val="5FA1C53E"/>
    <w:rsid w:val="5FABEBA8"/>
    <w:rsid w:val="5FD4DAC1"/>
    <w:rsid w:val="5FD77737"/>
    <w:rsid w:val="657F321E"/>
    <w:rsid w:val="69FE7A71"/>
    <w:rsid w:val="6B76F2F9"/>
    <w:rsid w:val="6CBBA718"/>
    <w:rsid w:val="6CF65206"/>
    <w:rsid w:val="6FDE6858"/>
    <w:rsid w:val="6FFB6AFC"/>
    <w:rsid w:val="73D84459"/>
    <w:rsid w:val="74BFA005"/>
    <w:rsid w:val="77FCD84A"/>
    <w:rsid w:val="7BFFA9F8"/>
    <w:rsid w:val="7D6DB7C7"/>
    <w:rsid w:val="7DEF3CDB"/>
    <w:rsid w:val="7EFDF8C1"/>
    <w:rsid w:val="7F7F2103"/>
    <w:rsid w:val="7F8F20B5"/>
    <w:rsid w:val="7F9FB7C5"/>
    <w:rsid w:val="7FEE2D27"/>
    <w:rsid w:val="7FF73632"/>
    <w:rsid w:val="7FF7C0F8"/>
    <w:rsid w:val="87FF5251"/>
    <w:rsid w:val="8FCD0C16"/>
    <w:rsid w:val="9D762614"/>
    <w:rsid w:val="9F7BCDF3"/>
    <w:rsid w:val="B7EDFD60"/>
    <w:rsid w:val="BAEFEC22"/>
    <w:rsid w:val="BBF5B2C3"/>
    <w:rsid w:val="BE37EA4B"/>
    <w:rsid w:val="BE5EEC15"/>
    <w:rsid w:val="BEAFEB5B"/>
    <w:rsid w:val="BEFD2677"/>
    <w:rsid w:val="BF6D1145"/>
    <w:rsid w:val="BF7DFC04"/>
    <w:rsid w:val="BF9F54DB"/>
    <w:rsid w:val="BFFFC0FD"/>
    <w:rsid w:val="C77EEE96"/>
    <w:rsid w:val="CBCEE255"/>
    <w:rsid w:val="CEB831BC"/>
    <w:rsid w:val="D17A9991"/>
    <w:rsid w:val="D7EF8053"/>
    <w:rsid w:val="DCF3843E"/>
    <w:rsid w:val="DEAD2914"/>
    <w:rsid w:val="DF738BBB"/>
    <w:rsid w:val="DFFF069B"/>
    <w:rsid w:val="E3178C6B"/>
    <w:rsid w:val="E77FC4FD"/>
    <w:rsid w:val="ECFF4DDE"/>
    <w:rsid w:val="EEFADA2E"/>
    <w:rsid w:val="EFE8AA0B"/>
    <w:rsid w:val="EFEF7639"/>
    <w:rsid w:val="F3EEBF1F"/>
    <w:rsid w:val="F5F62F43"/>
    <w:rsid w:val="F6FDD925"/>
    <w:rsid w:val="F97F1185"/>
    <w:rsid w:val="F9BF56A7"/>
    <w:rsid w:val="FA9FC086"/>
    <w:rsid w:val="FAFC626A"/>
    <w:rsid w:val="FDF385A5"/>
    <w:rsid w:val="FF6FE873"/>
    <w:rsid w:val="FFBA4BAE"/>
    <w:rsid w:val="FFBBE47A"/>
    <w:rsid w:val="FFCFC974"/>
    <w:rsid w:val="FFDF38D9"/>
    <w:rsid w:val="FFE51672"/>
    <w:rsid w:val="FFF3CA10"/>
    <w:rsid w:val="FFF7E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仿宋_GB2312"/>
      <w:snapToGrid w:val="0"/>
      <w:color w:val="000000"/>
      <w:kern w:val="0"/>
      <w:sz w:val="32"/>
      <w:szCs w:val="32"/>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河源市市场监管局</Company>
  <Pages>1</Pages>
  <Words>0</Words>
  <Characters>0</Characters>
  <Lines>0</Lines>
  <Paragraphs>0</Paragraphs>
  <TotalTime>2</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2025-07-18T18:38:00Z</dcterms:created>
  <dc:creator>LM</dc:creator>
  <cp:lastModifiedBy>fghf</cp:lastModifiedBy>
  <dcterms:modified xsi:type="dcterms:W3CDTF">2026-08-13T15:07:06Z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C651D6C858FB11932076776832E4A5FF</vt:lpwstr>
  </property>
</Properties>
</file>