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ordWrap/>
        <w:overflowPunct/>
        <w:topLinePunct w:val="0"/>
        <w:bidi w:val="0"/>
        <w:spacing w:line="600" w:lineRule="exact"/>
        <w:jc w:val="both"/>
        <w:rPr>
          <w:rFonts w:hint="default" w:ascii="宋体" w:hAnsi="宋体" w:eastAsia="黑体" w:cs="黑体"/>
          <w:lang w:val="en-US" w:eastAsia="zh-CN"/>
        </w:rPr>
      </w:pPr>
      <w:r>
        <w:rPr>
          <w:rFonts w:hint="eastAsia" w:ascii="宋体" w:hAnsi="宋体" w:eastAsia="黑体" w:cs="黑体"/>
          <w:lang w:val="en-US" w:eastAsia="zh-CN"/>
        </w:rPr>
        <w:t>附件5</w:t>
      </w:r>
    </w:p>
    <w:p>
      <w:pPr>
        <w:keepNext w:val="0"/>
        <w:keepLines w:val="0"/>
        <w:pageBreakBefore w:val="0"/>
        <w:wordWrap/>
        <w:overflowPunct/>
        <w:topLinePunct w:val="0"/>
        <w:bidi w:val="0"/>
        <w:spacing w:line="600" w:lineRule="exact"/>
        <w:jc w:val="both"/>
        <w:rPr>
          <w:rFonts w:hint="eastAsia" w:ascii="宋体" w:hAnsi="宋体" w:eastAsia="仿宋_GB2312" w:cs="仿宋_GB2312"/>
          <w:lang w:val="en-US" w:eastAsia="zh-CN"/>
        </w:rPr>
      </w:pPr>
    </w:p>
    <w:p>
      <w:pPr>
        <w:keepNext w:val="0"/>
        <w:keepLines w:val="0"/>
        <w:pageBreakBefore w:val="0"/>
        <w:wordWrap/>
        <w:overflowPunct/>
        <w:topLinePunct w:val="0"/>
        <w:bidi w:val="0"/>
        <w:spacing w:line="600" w:lineRule="exact"/>
        <w:jc w:val="center"/>
        <w:rPr>
          <w:rFonts w:hint="eastAsia" w:ascii="宋体" w:hAnsi="宋体" w:eastAsia="方正小标宋_GBK" w:cs="方正小标宋_GBK"/>
          <w:sz w:val="44"/>
          <w:szCs w:val="44"/>
          <w:lang w:val="en-US" w:eastAsia="zh-CN"/>
        </w:rPr>
      </w:pPr>
      <w:r>
        <w:rPr>
          <w:rFonts w:hint="eastAsia" w:ascii="宋体" w:hAnsi="宋体" w:eastAsia="方正小标宋_GBK" w:cs="方正小标宋_GBK"/>
          <w:sz w:val="44"/>
          <w:szCs w:val="44"/>
          <w:lang w:val="en-US" w:eastAsia="zh-CN"/>
        </w:rPr>
        <w:t>国家知识产权金融生态示范区及广东省数据知识产权运用试点建设项目申报指南</w:t>
      </w:r>
    </w:p>
    <w:p>
      <w:pPr>
        <w:keepNext w:val="0"/>
        <w:keepLines w:val="0"/>
        <w:pageBreakBefore w:val="0"/>
        <w:wordWrap/>
        <w:overflowPunct/>
        <w:topLinePunct w:val="0"/>
        <w:bidi w:val="0"/>
        <w:spacing w:line="600" w:lineRule="exact"/>
        <w:jc w:val="both"/>
        <w:rPr>
          <w:rFonts w:hint="eastAsia" w:ascii="宋体" w:hAnsi="宋体" w:eastAsia="仿宋_GB2312" w:cs="仿宋_GB2312"/>
          <w:lang w:val="en-US" w:eastAsia="zh-CN"/>
        </w:rPr>
      </w:pPr>
    </w:p>
    <w:p>
      <w:pPr>
        <w:keepNext w:val="0"/>
        <w:keepLines w:val="0"/>
        <w:pageBreakBefore w:val="0"/>
        <w:wordWrap/>
        <w:overflowPunct/>
        <w:topLinePunct w:val="0"/>
        <w:autoSpaceDE w:val="0"/>
        <w:autoSpaceDN w:val="0"/>
        <w:bidi w:val="0"/>
        <w:adjustRightInd w:val="0"/>
        <w:snapToGrid w:val="0"/>
        <w:spacing w:line="600" w:lineRule="exact"/>
        <w:ind w:firstLine="640" w:firstLineChars="200"/>
        <w:jc w:val="both"/>
        <w:rPr>
          <w:rFonts w:hint="eastAsia" w:ascii="宋体" w:hAnsi="宋体" w:eastAsia="黑体" w:cs="黑体"/>
          <w:lang w:val="en-US" w:eastAsia="zh-CN"/>
        </w:rPr>
      </w:pPr>
      <w:r>
        <w:rPr>
          <w:rFonts w:hint="eastAsia" w:ascii="宋体" w:hAnsi="宋体" w:eastAsia="黑体" w:cs="黑体"/>
          <w:lang w:val="en-US" w:eastAsia="zh-CN"/>
        </w:rPr>
        <w:t>一、项目名称</w:t>
      </w:r>
    </w:p>
    <w:p>
      <w:pPr>
        <w:keepNext w:val="0"/>
        <w:keepLines w:val="0"/>
        <w:pageBreakBefore w:val="0"/>
        <w:wordWrap/>
        <w:overflowPunct/>
        <w:topLinePunct w:val="0"/>
        <w:autoSpaceDE w:val="0"/>
        <w:autoSpaceDN w:val="0"/>
        <w:bidi w:val="0"/>
        <w:adjustRightInd w:val="0"/>
        <w:snapToGrid w:val="0"/>
        <w:spacing w:line="600" w:lineRule="exact"/>
        <w:ind w:firstLine="640" w:firstLineChars="200"/>
        <w:jc w:val="both"/>
        <w:rPr>
          <w:rFonts w:hint="eastAsia" w:ascii="宋体" w:hAnsi="宋体" w:eastAsia="仿宋_GB2312" w:cs="仿宋_GB2312"/>
          <w:sz w:val="32"/>
          <w:szCs w:val="32"/>
          <w:lang w:val="en-US" w:eastAsia="zh-CN"/>
        </w:rPr>
      </w:pPr>
      <w:r>
        <w:rPr>
          <w:rFonts w:hint="eastAsia" w:ascii="宋体" w:hAnsi="宋体" w:eastAsia="仿宋_GB2312" w:cs="仿宋_GB2312"/>
          <w:sz w:val="32"/>
          <w:szCs w:val="32"/>
          <w:lang w:val="en-US" w:eastAsia="zh-CN"/>
        </w:rPr>
        <w:t>国家知识产权金融生态示范区及广东省数据知识产权运用试点建设项目</w:t>
      </w:r>
    </w:p>
    <w:p>
      <w:pPr>
        <w:keepNext w:val="0"/>
        <w:keepLines w:val="0"/>
        <w:pageBreakBefore w:val="0"/>
        <w:wordWrap/>
        <w:overflowPunct/>
        <w:topLinePunct w:val="0"/>
        <w:autoSpaceDE w:val="0"/>
        <w:autoSpaceDN w:val="0"/>
        <w:bidi w:val="0"/>
        <w:adjustRightInd w:val="0"/>
        <w:snapToGrid w:val="0"/>
        <w:spacing w:line="600" w:lineRule="exact"/>
        <w:ind w:firstLine="640" w:firstLineChars="200"/>
        <w:jc w:val="both"/>
        <w:rPr>
          <w:rFonts w:hint="eastAsia" w:ascii="宋体" w:hAnsi="宋体" w:eastAsia="黑体" w:cs="黑体"/>
          <w:lang w:val="en-US" w:eastAsia="zh-CN"/>
        </w:rPr>
      </w:pPr>
      <w:r>
        <w:rPr>
          <w:rFonts w:hint="eastAsia" w:ascii="宋体" w:hAnsi="宋体" w:eastAsia="黑体" w:cs="黑体"/>
          <w:lang w:val="en-US" w:eastAsia="zh-CN"/>
        </w:rPr>
        <w:t>二、项目目标</w:t>
      </w:r>
    </w:p>
    <w:p>
      <w:pPr>
        <w:keepNext w:val="0"/>
        <w:keepLines w:val="0"/>
        <w:pageBreakBefore w:val="0"/>
        <w:widowControl w:val="0"/>
        <w:numPr>
          <w:ilvl w:val="-1"/>
          <w:numId w:val="0"/>
        </w:numPr>
        <w:kinsoku/>
        <w:wordWrap/>
        <w:overflowPunct/>
        <w:topLinePunct w:val="0"/>
        <w:autoSpaceDE w:val="0"/>
        <w:autoSpaceDN w:val="0"/>
        <w:bidi w:val="0"/>
        <w:adjustRightInd w:val="0"/>
        <w:snapToGrid w:val="0"/>
        <w:spacing w:beforeLines="0" w:afterLines="0" w:line="600" w:lineRule="exact"/>
        <w:ind w:left="0" w:leftChars="0" w:firstLine="640" w:firstLineChars="200"/>
        <w:jc w:val="both"/>
        <w:textAlignment w:val="auto"/>
        <w:rPr>
          <w:rFonts w:hint="eastAsia" w:ascii="宋体" w:hAnsi="宋体" w:eastAsia="仿宋_GB2312" w:cs="Times New Roman"/>
          <w:i w:val="0"/>
          <w:iCs w:val="0"/>
          <w:caps w:val="0"/>
          <w:color w:val="333333"/>
          <w:spacing w:val="0"/>
          <w:kern w:val="0"/>
          <w:sz w:val="32"/>
          <w:szCs w:val="32"/>
          <w:shd w:val="clear" w:color="auto" w:fill="FFFFFF"/>
          <w:lang w:val="en-US" w:eastAsia="zh-CN"/>
        </w:rPr>
      </w:pPr>
      <w:r>
        <w:rPr>
          <w:rFonts w:hint="default" w:ascii="宋体" w:hAnsi="宋体" w:eastAsia="仿宋_GB2312" w:cs="仿宋_GB2312"/>
          <w:sz w:val="32"/>
          <w:szCs w:val="32"/>
          <w:lang w:val="en-US" w:eastAsia="zh-CN"/>
        </w:rPr>
        <w:t>全面激发知识产权金融活力，建立健全覆盖知识产权金融全流程、闭环式服务体系，促进多元化知识产权金融服务逐步丰富，加强数据知识产权交易运营，提升知识产权金融服务实体经济质效</w:t>
      </w:r>
      <w:r>
        <w:rPr>
          <w:rFonts w:hint="eastAsia" w:ascii="宋体" w:hAnsi="宋体" w:eastAsia="仿宋_GB2312" w:cs="仿宋_GB2312"/>
          <w:sz w:val="32"/>
          <w:szCs w:val="32"/>
          <w:lang w:val="en-US" w:eastAsia="zh-CN"/>
        </w:rPr>
        <w:t>，</w:t>
      </w:r>
      <w:r>
        <w:rPr>
          <w:rFonts w:hint="default" w:ascii="宋体" w:hAnsi="宋体" w:eastAsia="仿宋_GB2312" w:cs="仿宋_GB2312"/>
          <w:color w:val="auto"/>
          <w:sz w:val="32"/>
          <w:szCs w:val="32"/>
          <w:highlight w:val="none"/>
          <w:lang w:val="en-US" w:eastAsia="zh-CN"/>
        </w:rPr>
        <w:t>实现知识产权、产业与金融深度融合、协同发展的良好格局</w:t>
      </w:r>
      <w:r>
        <w:rPr>
          <w:rFonts w:hint="eastAsia" w:ascii="宋体" w:hAnsi="宋体" w:eastAsia="仿宋_GB2312" w:cs="仿宋_GB2312"/>
          <w:color w:val="auto"/>
          <w:sz w:val="32"/>
          <w:szCs w:val="32"/>
          <w:highlight w:val="none"/>
          <w:lang w:val="en-US" w:eastAsia="zh-CN"/>
        </w:rPr>
        <w:t>。</w:t>
      </w:r>
    </w:p>
    <w:p>
      <w:pPr>
        <w:keepNext w:val="0"/>
        <w:keepLines w:val="0"/>
        <w:pageBreakBefore w:val="0"/>
        <w:widowControl w:val="0"/>
        <w:numPr>
          <w:ilvl w:val="-1"/>
          <w:numId w:val="0"/>
        </w:numPr>
        <w:kinsoku/>
        <w:wordWrap/>
        <w:overflowPunct/>
        <w:topLinePunct w:val="0"/>
        <w:autoSpaceDE w:val="0"/>
        <w:autoSpaceDN w:val="0"/>
        <w:bidi w:val="0"/>
        <w:adjustRightInd w:val="0"/>
        <w:snapToGrid w:val="0"/>
        <w:spacing w:beforeLines="0" w:afterLines="0" w:line="600" w:lineRule="exact"/>
        <w:ind w:firstLine="640" w:firstLineChars="200"/>
        <w:jc w:val="both"/>
        <w:textAlignment w:val="auto"/>
        <w:rPr>
          <w:rFonts w:hint="default" w:ascii="宋体" w:hAnsi="宋体" w:eastAsia="仿宋_GB2312" w:cs="仿宋_GB2312"/>
          <w:i w:val="0"/>
          <w:iCs w:val="0"/>
          <w:color w:val="000000"/>
          <w:kern w:val="0"/>
          <w:sz w:val="32"/>
          <w:szCs w:val="32"/>
          <w:u w:val="none"/>
          <w:lang w:val="en-US" w:eastAsia="zh-CN" w:bidi="ar"/>
        </w:rPr>
      </w:pPr>
      <w:r>
        <w:rPr>
          <w:rFonts w:hint="eastAsia" w:ascii="宋体" w:hAnsi="宋体" w:eastAsia="黑体" w:cs="黑体"/>
          <w:sz w:val="32"/>
          <w:lang w:val="en-US" w:eastAsia="zh-CN"/>
        </w:rPr>
        <w:t>三、</w:t>
      </w:r>
      <w:r>
        <w:rPr>
          <w:rFonts w:hint="eastAsia" w:ascii="宋体" w:hAnsi="宋体" w:eastAsia="黑体" w:cs="黑体"/>
          <w:sz w:val="32"/>
        </w:rPr>
        <w:t>项目任务</w:t>
      </w:r>
    </w:p>
    <w:p>
      <w:pPr>
        <w:keepNext w:val="0"/>
        <w:keepLines w:val="0"/>
        <w:pageBreakBefore w:val="0"/>
        <w:widowControl w:val="0"/>
        <w:numPr>
          <w:ilvl w:val="-1"/>
          <w:numId w:val="0"/>
        </w:numPr>
        <w:kinsoku/>
        <w:wordWrap/>
        <w:overflowPunct/>
        <w:topLinePunct w:val="0"/>
        <w:bidi w:val="0"/>
        <w:spacing w:beforeLines="0" w:afterLines="0" w:line="600" w:lineRule="exact"/>
        <w:ind w:left="0" w:leftChars="0" w:firstLine="640" w:firstLineChars="200"/>
        <w:jc w:val="both"/>
        <w:textAlignment w:val="auto"/>
        <w:rPr>
          <w:rFonts w:hint="eastAsia" w:ascii="宋体" w:hAnsi="宋体" w:eastAsia="仿宋_GB2312" w:cs="仿宋_GB2312"/>
          <w:sz w:val="32"/>
          <w:szCs w:val="32"/>
          <w:lang w:val="en-US" w:eastAsia="zh-CN" w:bidi="ar"/>
        </w:rPr>
      </w:pPr>
      <w:r>
        <w:rPr>
          <w:rFonts w:hint="eastAsia" w:ascii="宋体" w:hAnsi="宋体" w:eastAsia="仿宋_GB2312" w:cs="仿宋_GB2312"/>
          <w:sz w:val="32"/>
          <w:szCs w:val="32"/>
          <w:lang w:val="en-US" w:eastAsia="zh-CN" w:bidi="ar"/>
        </w:rPr>
        <w:t>（一）积极稳妥发展知识产权金融，协助做好知识产权质押融资提质增量工作，在推动知识产权质押融资登记金额规模总体平稳、登记笔数保持稳定增长的基础上，更好满足更多中小企业创新发展需求，带动本地知识产权质押融资登记金额规模保持总体平稳，登记笔数保持稳定增长；</w:t>
      </w:r>
    </w:p>
    <w:p>
      <w:pPr>
        <w:keepNext w:val="0"/>
        <w:keepLines w:val="0"/>
        <w:pageBreakBefore w:val="0"/>
        <w:widowControl w:val="0"/>
        <w:numPr>
          <w:ilvl w:val="-1"/>
          <w:numId w:val="0"/>
        </w:numPr>
        <w:kinsoku/>
        <w:wordWrap/>
        <w:overflowPunct/>
        <w:topLinePunct w:val="0"/>
        <w:bidi w:val="0"/>
        <w:spacing w:beforeLines="0" w:afterLines="0" w:line="600" w:lineRule="exact"/>
        <w:ind w:left="0" w:leftChars="0" w:firstLine="640" w:firstLineChars="200"/>
        <w:jc w:val="both"/>
        <w:textAlignment w:val="auto"/>
        <w:rPr>
          <w:rFonts w:hint="eastAsia" w:ascii="宋体" w:hAnsi="宋体" w:eastAsia="仿宋_GB2312" w:cs="仿宋_GB2312"/>
          <w:sz w:val="32"/>
          <w:szCs w:val="32"/>
          <w:lang w:val="en-US" w:eastAsia="zh-CN" w:bidi="ar"/>
        </w:rPr>
      </w:pPr>
      <w:r>
        <w:rPr>
          <w:rFonts w:hint="eastAsia" w:ascii="宋体" w:hAnsi="宋体" w:eastAsia="仿宋_GB2312" w:cs="仿宋_GB2312"/>
          <w:sz w:val="32"/>
          <w:szCs w:val="32"/>
          <w:lang w:val="en-US" w:eastAsia="zh-CN" w:bidi="ar"/>
        </w:rPr>
        <w:t>（二）开展知识产权质押融资服务，设立1个知识产权金融服务站点，为创新主体提供政策解读、流程指导、风险评估、对接促成等服务不少于30家次，提升知识产权质押融资服务效能。</w:t>
      </w:r>
    </w:p>
    <w:p>
      <w:pPr>
        <w:keepNext w:val="0"/>
        <w:keepLines w:val="0"/>
        <w:pageBreakBefore w:val="0"/>
        <w:widowControl w:val="0"/>
        <w:numPr>
          <w:ilvl w:val="-1"/>
          <w:numId w:val="0"/>
        </w:numPr>
        <w:kinsoku/>
        <w:wordWrap/>
        <w:overflowPunct/>
        <w:topLinePunct w:val="0"/>
        <w:bidi w:val="0"/>
        <w:spacing w:beforeLines="0" w:afterLines="0" w:line="600" w:lineRule="exact"/>
        <w:ind w:left="0" w:leftChars="0" w:firstLine="640" w:firstLineChars="200"/>
        <w:jc w:val="both"/>
        <w:textAlignment w:val="auto"/>
        <w:rPr>
          <w:rFonts w:hint="eastAsia" w:ascii="宋体" w:hAnsi="宋体" w:eastAsia="仿宋_GB2312" w:cs="仿宋_GB2312"/>
          <w:sz w:val="32"/>
          <w:szCs w:val="32"/>
          <w:lang w:val="en-US" w:eastAsia="zh-CN" w:bidi="ar"/>
        </w:rPr>
      </w:pPr>
      <w:r>
        <w:rPr>
          <w:rFonts w:hint="eastAsia" w:ascii="宋体" w:hAnsi="宋体" w:eastAsia="仿宋_GB2312" w:cs="仿宋_GB2312"/>
          <w:sz w:val="32"/>
          <w:szCs w:val="32"/>
          <w:lang w:val="en-US" w:eastAsia="zh-CN" w:bidi="ar"/>
        </w:rPr>
        <w:t>（三）协助开展数据知识产权交易运营工作，协助金融机构开发数据知识产权交易运营产品，为创新主体提供数据知识产权交易运营服务，做好3单以上数据知识产权交易及质押融资；</w:t>
      </w:r>
    </w:p>
    <w:p>
      <w:pPr>
        <w:keepNext w:val="0"/>
        <w:keepLines w:val="0"/>
        <w:pageBreakBefore w:val="0"/>
        <w:widowControl w:val="0"/>
        <w:numPr>
          <w:ilvl w:val="-1"/>
          <w:numId w:val="0"/>
        </w:numPr>
        <w:kinsoku/>
        <w:wordWrap/>
        <w:overflowPunct/>
        <w:topLinePunct w:val="0"/>
        <w:bidi w:val="0"/>
        <w:spacing w:beforeLines="0" w:afterLines="0" w:line="600" w:lineRule="exact"/>
        <w:ind w:left="0" w:leftChars="0" w:firstLine="640" w:firstLineChars="200"/>
        <w:jc w:val="both"/>
        <w:textAlignment w:val="auto"/>
        <w:rPr>
          <w:rFonts w:hint="eastAsia" w:ascii="宋体" w:hAnsi="宋体" w:eastAsia="仿宋_GB2312" w:cs="仿宋_GB2312"/>
          <w:sz w:val="32"/>
          <w:szCs w:val="32"/>
          <w:lang w:val="en-US" w:eastAsia="zh-CN" w:bidi="ar"/>
        </w:rPr>
      </w:pPr>
      <w:r>
        <w:rPr>
          <w:rFonts w:hint="eastAsia" w:ascii="宋体" w:hAnsi="宋体" w:eastAsia="仿宋_GB2312" w:cs="仿宋_GB2312"/>
          <w:sz w:val="32"/>
          <w:szCs w:val="32"/>
          <w:lang w:val="en-US" w:eastAsia="zh-CN" w:bidi="ar"/>
        </w:rPr>
        <w:t>（四）促进</w:t>
      </w:r>
      <w:r>
        <w:rPr>
          <w:rFonts w:hint="eastAsia" w:ascii="宋体" w:hAnsi="宋体" w:eastAsia="仿宋_GB2312" w:cs="仿宋_GB2312"/>
          <w:color w:val="auto"/>
          <w:sz w:val="32"/>
          <w:szCs w:val="32"/>
          <w:lang w:val="en-US" w:eastAsia="zh-CN"/>
        </w:rPr>
        <w:t>知识产权质押融资交流对接，在2个以上产业园区</w:t>
      </w:r>
      <w:r>
        <w:rPr>
          <w:rFonts w:hint="eastAsia" w:ascii="宋体" w:hAnsi="宋体" w:eastAsia="仿宋_GB2312" w:cs="仿宋_GB2312"/>
          <w:sz w:val="32"/>
          <w:szCs w:val="32"/>
          <w:lang w:val="en-US" w:eastAsia="zh-CN" w:bidi="ar"/>
        </w:rPr>
        <w:t>协助开展3场以上知识产权金融机构与创新主体对接、知识产权质押融资培训、数据知识产权交易运营培训等活动，</w:t>
      </w:r>
      <w:r>
        <w:rPr>
          <w:rFonts w:hint="eastAsia" w:ascii="宋体" w:hAnsi="宋体" w:eastAsia="仿宋_GB2312" w:cs="仿宋_GB2312"/>
          <w:b w:val="0"/>
          <w:bCs w:val="0"/>
          <w:snapToGrid w:val="0"/>
          <w:color w:val="auto"/>
          <w:kern w:val="0"/>
          <w:sz w:val="32"/>
          <w:szCs w:val="32"/>
          <w:lang w:val="en-US" w:eastAsia="zh-CN" w:bidi="ar"/>
        </w:rPr>
        <w:t>每场活动参加单位不少于20家、人数不少于40人；</w:t>
      </w:r>
    </w:p>
    <w:p>
      <w:pPr>
        <w:keepNext w:val="0"/>
        <w:keepLines w:val="0"/>
        <w:pageBreakBefore w:val="0"/>
        <w:widowControl w:val="0"/>
        <w:numPr>
          <w:ilvl w:val="-1"/>
          <w:numId w:val="0"/>
        </w:numPr>
        <w:kinsoku/>
        <w:wordWrap/>
        <w:overflowPunct/>
        <w:topLinePunct w:val="0"/>
        <w:bidi w:val="0"/>
        <w:spacing w:beforeLines="0" w:afterLines="0" w:line="600" w:lineRule="exact"/>
        <w:ind w:left="0" w:leftChars="0" w:firstLine="640" w:firstLineChars="200"/>
        <w:jc w:val="both"/>
        <w:textAlignment w:val="auto"/>
        <w:rPr>
          <w:rFonts w:hint="eastAsia" w:ascii="宋体" w:hAnsi="宋体" w:eastAsia="仿宋_GB2312" w:cs="仿宋_GB2312"/>
          <w:sz w:val="32"/>
          <w:szCs w:val="32"/>
          <w:lang w:val="en-US" w:eastAsia="zh-CN" w:bidi="ar"/>
        </w:rPr>
      </w:pPr>
      <w:r>
        <w:rPr>
          <w:rFonts w:hint="eastAsia" w:ascii="宋体" w:hAnsi="宋体" w:eastAsia="仿宋_GB2312" w:cs="仿宋_GB2312"/>
          <w:sz w:val="32"/>
          <w:szCs w:val="32"/>
          <w:lang w:val="en-US" w:eastAsia="zh-CN" w:bidi="ar"/>
        </w:rPr>
        <w:t>（五）协助辖内商业银行开展金融产品设计、评估体系搭建、押品筛选等工作，提供专业知识产权服务；协助辖内银行开展知识产权质物处置板块设置，拓宽质物处置途径；协助推广1个知识产权保险产品，为企业提供知识产权综合保险方案；</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Lines="0" w:afterLines="0" w:line="600" w:lineRule="exact"/>
        <w:ind w:firstLine="640" w:firstLineChars="200"/>
        <w:jc w:val="both"/>
        <w:textAlignment w:val="auto"/>
        <w:rPr>
          <w:rFonts w:hint="eastAsia" w:ascii="宋体" w:hAnsi="宋体"/>
          <w:lang w:val="en-US" w:eastAsia="zh-CN"/>
        </w:rPr>
      </w:pPr>
      <w:r>
        <w:rPr>
          <w:rFonts w:hint="eastAsia" w:ascii="宋体" w:hAnsi="宋体" w:eastAsia="仿宋_GB2312" w:cs="仿宋_GB2312"/>
          <w:sz w:val="32"/>
          <w:szCs w:val="32"/>
          <w:lang w:val="en-US" w:eastAsia="zh-CN" w:bidi="ar"/>
        </w:rPr>
        <w:t>（六）</w:t>
      </w:r>
      <w:r>
        <w:rPr>
          <w:rFonts w:hint="eastAsia" w:ascii="宋体" w:hAnsi="宋体" w:eastAsia="仿宋_GB2312" w:cs="仿宋_GB2312"/>
          <w:color w:val="auto"/>
          <w:sz w:val="32"/>
          <w:szCs w:val="32"/>
          <w:lang w:val="en-US" w:eastAsia="zh-CN"/>
        </w:rPr>
        <w:t>促进知识产权推广运用。协助创新主体开展专利转让、许可，发动企业在“国家专利密集型产品备案认定试点平台”进行专利密集型产品备案。引导并协助组织5家以上相关创新主体积极参与粤港澳大湾区高价值知识产权培育布局大赛、粤东西北知识产权创新运用大赛、知识产权交易博览会等各类赛事、大型展会活动。制作发布1个宣传视频，形成1篇成效性总结宣传报道，在市级以上媒体上发布；形成不少于1个知识产权转化运用典型案例。</w:t>
      </w:r>
    </w:p>
    <w:p>
      <w:pPr>
        <w:keepNext w:val="0"/>
        <w:keepLines w:val="0"/>
        <w:pageBreakBefore w:val="0"/>
        <w:widowControl w:val="0"/>
        <w:numPr>
          <w:ilvl w:val="-1"/>
          <w:numId w:val="0"/>
        </w:numPr>
        <w:kinsoku/>
        <w:wordWrap/>
        <w:overflowPunct/>
        <w:topLinePunct w:val="0"/>
        <w:bidi w:val="0"/>
        <w:spacing w:beforeLines="0" w:afterLines="0" w:line="600" w:lineRule="exact"/>
        <w:ind w:left="0" w:leftChars="0" w:firstLine="640" w:firstLineChars="200"/>
        <w:jc w:val="both"/>
        <w:textAlignment w:val="auto"/>
        <w:rPr>
          <w:rFonts w:hint="eastAsia" w:ascii="宋体" w:hAnsi="宋体" w:eastAsia="黑体" w:cs="黑体"/>
          <w:sz w:val="32"/>
        </w:rPr>
      </w:pPr>
      <w:r>
        <w:rPr>
          <w:rFonts w:hint="eastAsia" w:ascii="宋体" w:hAnsi="宋体" w:eastAsia="黑体" w:cs="黑体"/>
          <w:sz w:val="32"/>
          <w:lang w:val="en-US" w:eastAsia="zh-CN"/>
        </w:rPr>
        <w:t>四、</w:t>
      </w:r>
      <w:r>
        <w:rPr>
          <w:rFonts w:hint="eastAsia" w:ascii="宋体" w:hAnsi="宋体" w:eastAsia="黑体" w:cs="黑体"/>
          <w:sz w:val="32"/>
        </w:rPr>
        <w:t>申报主体及条件</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宋体" w:hAnsi="宋体" w:eastAsia="仿宋_GB2312" w:cs="仿宋_GB2312"/>
          <w:color w:val="auto"/>
          <w:sz w:val="32"/>
          <w:szCs w:val="32"/>
          <w:lang w:val="en-US" w:eastAsia="zh-CN"/>
        </w:rPr>
      </w:pPr>
      <w:r>
        <w:rPr>
          <w:rFonts w:hint="eastAsia" w:ascii="宋体" w:hAnsi="宋体" w:eastAsia="仿宋_GB2312" w:cs="仿宋_GB2312"/>
          <w:b w:val="0"/>
          <w:bCs/>
          <w:color w:val="auto"/>
          <w:sz w:val="32"/>
          <w:szCs w:val="32"/>
          <w:lang w:eastAsia="zh-CN"/>
        </w:rPr>
        <w:t>（一）</w:t>
      </w:r>
      <w:r>
        <w:rPr>
          <w:rFonts w:hint="eastAsia" w:ascii="宋体" w:hAnsi="宋体" w:eastAsia="仿宋_GB2312" w:cs="仿宋_GB2312"/>
          <w:b w:val="0"/>
          <w:bCs/>
          <w:color w:val="auto"/>
          <w:sz w:val="32"/>
          <w:szCs w:val="32"/>
        </w:rPr>
        <w:t>申报主体：</w:t>
      </w:r>
      <w:r>
        <w:rPr>
          <w:rFonts w:hint="eastAsia" w:ascii="宋体" w:hAnsi="宋体" w:eastAsia="仿宋_GB2312" w:cs="仿宋_GB2312"/>
          <w:color w:val="auto"/>
          <w:sz w:val="32"/>
          <w:szCs w:val="32"/>
          <w:lang w:val="en-US" w:eastAsia="zh-CN"/>
        </w:rPr>
        <w:t>省内依法登记注册、具备合法资质的各类技术创新中心、产学研基地、制造业集聚园区、重点产业园区；省内高等院校、科研机构、医疗机构、重点实验室等；专利密集型产品培育推广潜力较强的企业等创新主体；各类技术转移转化中心或平台、知识产权服务机构、相关产业领域行业组织；省内相关金融机构等申报。</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600" w:lineRule="exact"/>
        <w:ind w:firstLine="640" w:firstLineChars="200"/>
        <w:jc w:val="both"/>
        <w:textAlignment w:val="auto"/>
        <w:rPr>
          <w:rFonts w:hint="default" w:ascii="宋体" w:hAnsi="宋体" w:eastAsia="仿宋_GB2312" w:cs="仿宋_GB2312"/>
          <w:color w:val="auto"/>
          <w:sz w:val="32"/>
          <w:szCs w:val="32"/>
          <w:lang w:val="en-US" w:eastAsia="zh-CN"/>
        </w:rPr>
      </w:pPr>
      <w:r>
        <w:rPr>
          <w:rFonts w:hint="eastAsia" w:ascii="宋体" w:hAnsi="宋体" w:eastAsia="仿宋_GB2312" w:cs="仿宋_GB2312"/>
          <w:color w:val="auto"/>
          <w:sz w:val="32"/>
          <w:szCs w:val="32"/>
          <w:lang w:val="en-US" w:eastAsia="zh-CN"/>
        </w:rPr>
        <w:t>（二）申报条件：申报单位应当具备实施项目所必须的实施条件和所要求各项任务的能力，具有良好的信用记录、资金、财政状况和健全的管理制度，有固定工作场所和专人负责项目实施，在经营活动中没有重大违法记录，能遵守专项资金管理有关规定，能按时、保质保量完成项目任务。已经承担省、市、县同类型项目且尚未验收或验收不合格的，不得申报。所在产业领域知识产权金融资源丰富，熟悉相关产业领域专利、商标、数据知识产权布局情况，有能力挖掘领域内的专利、商标、数据知识产权等开展知识产权质押融资、保险</w:t>
      </w:r>
      <w:bookmarkStart w:id="0" w:name="_GoBack"/>
      <w:bookmarkEnd w:id="0"/>
      <w:r>
        <w:rPr>
          <w:rFonts w:hint="eastAsia" w:ascii="宋体" w:hAnsi="宋体" w:eastAsia="仿宋_GB2312" w:cs="仿宋_GB2312"/>
          <w:color w:val="auto"/>
          <w:sz w:val="32"/>
          <w:szCs w:val="32"/>
          <w:lang w:val="en-US" w:eastAsia="zh-CN"/>
        </w:rPr>
        <w:t>等业务。同一申报单位在全省各地市范围内限申报“国家知识产权金融生态示范区及广东省数据知识产权运用试点建设项目”不超过3个，如后续检查时发现有未遵守承诺的情况，取消该</w:t>
      </w:r>
      <w:r>
        <w:rPr>
          <w:rFonts w:hint="eastAsia" w:ascii="宋体" w:hAnsi="宋体" w:eastAsia="仿宋_GB2312"/>
          <w:color w:val="auto"/>
          <w:sz w:val="32"/>
          <w:szCs w:val="32"/>
          <w:lang w:eastAsia="zh-CN"/>
        </w:rPr>
        <w:t>单位项目储备资格。</w:t>
      </w:r>
    </w:p>
    <w:p>
      <w:pPr>
        <w:keepNext w:val="0"/>
        <w:keepLines w:val="0"/>
        <w:pageBreakBefore w:val="0"/>
        <w:widowControl w:val="0"/>
        <w:numPr>
          <w:ilvl w:val="0"/>
          <w:numId w:val="0"/>
        </w:numPr>
        <w:kinsoku/>
        <w:wordWrap/>
        <w:overflowPunct/>
        <w:topLinePunct w:val="0"/>
        <w:bidi w:val="0"/>
        <w:spacing w:beforeLines="0" w:afterLines="0" w:line="600" w:lineRule="exact"/>
        <w:ind w:firstLine="640" w:firstLineChars="200"/>
        <w:jc w:val="both"/>
        <w:textAlignment w:val="auto"/>
        <w:rPr>
          <w:rFonts w:hint="eastAsia" w:ascii="宋体" w:hAnsi="宋体" w:eastAsia="黑体" w:cs="黑体"/>
          <w:sz w:val="32"/>
        </w:rPr>
      </w:pPr>
      <w:r>
        <w:rPr>
          <w:rFonts w:hint="eastAsia" w:ascii="宋体" w:hAnsi="宋体" w:eastAsia="黑体" w:cs="黑体"/>
          <w:sz w:val="32"/>
        </w:rPr>
        <w:t>五、申报材料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宋体" w:hAnsi="宋体" w:eastAsia="仿宋_GB2312" w:cs="仿宋_GB2312"/>
          <w:color w:val="auto"/>
          <w:sz w:val="32"/>
          <w:szCs w:val="32"/>
          <w:lang w:val="en-US" w:eastAsia="zh-CN"/>
        </w:rPr>
      </w:pPr>
      <w:r>
        <w:rPr>
          <w:rFonts w:hint="eastAsia" w:ascii="宋体" w:hAnsi="宋体" w:eastAsia="仿宋_GB2312" w:cs="仿宋_GB2312"/>
          <w:color w:val="auto"/>
          <w:sz w:val="32"/>
          <w:szCs w:val="32"/>
          <w:lang w:val="en-US" w:eastAsia="zh-CN"/>
        </w:rPr>
        <w:t>（一）《2027年河源市知识产权促进类储备项目申报书》；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宋体" w:hAnsi="宋体" w:eastAsia="仿宋_GB2312" w:cs="仿宋_GB2312"/>
          <w:color w:val="auto"/>
          <w:sz w:val="32"/>
          <w:szCs w:val="32"/>
          <w:lang w:val="en-US" w:eastAsia="zh-CN"/>
        </w:rPr>
      </w:pPr>
      <w:r>
        <w:rPr>
          <w:rFonts w:hint="eastAsia" w:ascii="宋体" w:hAnsi="宋体" w:eastAsia="仿宋_GB2312" w:cs="仿宋_GB2312"/>
          <w:color w:val="auto"/>
          <w:sz w:val="32"/>
          <w:szCs w:val="32"/>
          <w:lang w:val="en-US" w:eastAsia="zh-CN"/>
        </w:rPr>
        <w:t>（二）主体资格登记证明、银行开户许可证复印件；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宋体" w:hAnsi="宋体" w:eastAsia="仿宋_GB2312" w:cs="仿宋_GB2312"/>
          <w:color w:val="auto"/>
          <w:sz w:val="32"/>
          <w:szCs w:val="32"/>
          <w:lang w:val="en-US" w:eastAsia="zh-CN"/>
        </w:rPr>
      </w:pPr>
      <w:r>
        <w:rPr>
          <w:rFonts w:hint="eastAsia" w:ascii="宋体" w:hAnsi="宋体" w:eastAsia="仿宋_GB2312" w:cs="仿宋_GB2312"/>
          <w:color w:val="auto"/>
          <w:sz w:val="32"/>
          <w:szCs w:val="32"/>
          <w:lang w:val="en-US" w:eastAsia="zh-CN"/>
        </w:rPr>
        <w:t>（三）相关资质和经验证明材料；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宋体" w:hAnsi="宋体" w:eastAsia="仿宋_GB2312" w:cs="仿宋_GB2312"/>
          <w:color w:val="auto"/>
          <w:sz w:val="32"/>
          <w:szCs w:val="32"/>
          <w:lang w:val="en-US" w:eastAsia="zh-CN"/>
        </w:rPr>
      </w:pPr>
      <w:r>
        <w:rPr>
          <w:rFonts w:hint="eastAsia" w:ascii="宋体" w:hAnsi="宋体" w:eastAsia="仿宋_GB2312" w:cs="仿宋_GB2312"/>
          <w:color w:val="auto"/>
          <w:sz w:val="32"/>
          <w:szCs w:val="32"/>
          <w:lang w:val="en-US" w:eastAsia="zh-CN"/>
        </w:rPr>
        <w:t>（四）近两年的财务报表；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宋体" w:hAnsi="宋体" w:eastAsia="仿宋_GB2312" w:cs="仿宋_GB2312"/>
          <w:color w:val="auto"/>
          <w:sz w:val="32"/>
          <w:szCs w:val="32"/>
          <w:lang w:val="en-US" w:eastAsia="zh-CN"/>
        </w:rPr>
      </w:pPr>
      <w:r>
        <w:rPr>
          <w:rFonts w:hint="eastAsia" w:ascii="宋体" w:hAnsi="宋体" w:eastAsia="仿宋_GB2312" w:cs="仿宋_GB2312"/>
          <w:color w:val="auto"/>
          <w:sz w:val="32"/>
          <w:szCs w:val="32"/>
          <w:lang w:val="en-US" w:eastAsia="zh-CN"/>
        </w:rPr>
        <w:t>（五）其他证明申报单位条件及优势的佐证材料。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宋体" w:hAnsi="宋体" w:eastAsia="仿宋_GB2312" w:cs="仿宋_GB2312"/>
          <w:lang w:val="en-US" w:eastAsia="zh-CN"/>
        </w:rPr>
      </w:pPr>
      <w:r>
        <w:rPr>
          <w:rFonts w:hint="eastAsia" w:ascii="宋体" w:hAnsi="宋体" w:eastAsia="仿宋_GB2312" w:cs="仿宋_GB2312"/>
          <w:color w:val="auto"/>
          <w:sz w:val="32"/>
          <w:szCs w:val="32"/>
          <w:lang w:val="en-US" w:eastAsia="zh-CN"/>
        </w:rPr>
        <w:t>上述材料均需加盖公章并在申报材料加盖骑缝章。</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宋体" w:hAnsi="宋体" w:eastAsia="仿宋_GB2312" w:cs="仿宋_GB2312"/>
          <w:color w:val="auto"/>
          <w:sz w:val="32"/>
          <w:szCs w:val="32"/>
          <w:u w:val="none"/>
          <w:lang w:val="en-US" w:eastAsia="zh-CN"/>
        </w:rPr>
      </w:pPr>
      <w:r>
        <w:rPr>
          <w:rFonts w:hint="eastAsia" w:ascii="宋体" w:hAnsi="宋体" w:eastAsia="黑体" w:cs="Times New Roman"/>
          <w:color w:val="auto"/>
          <w:sz w:val="32"/>
          <w:szCs w:val="32"/>
          <w:lang w:val="en-US" w:eastAsia="zh-CN"/>
        </w:rPr>
        <w:t>六、</w:t>
      </w:r>
      <w:r>
        <w:rPr>
          <w:rFonts w:hint="eastAsia" w:ascii="宋体" w:hAnsi="宋体" w:eastAsia="黑体"/>
          <w:color w:val="auto"/>
          <w:sz w:val="32"/>
          <w:lang w:val="en-US" w:eastAsia="zh-CN"/>
        </w:rPr>
        <w:t>经费安排</w:t>
      </w:r>
      <w:r>
        <w:rPr>
          <w:rFonts w:hint="eastAsia" w:ascii="宋体" w:hAnsi="宋体" w:eastAsia="黑体"/>
          <w:color w:val="auto"/>
          <w:sz w:val="32"/>
          <w:lang w:eastAsia="zh-CN"/>
        </w:rPr>
        <w:t>及实施期限</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宋体" w:hAnsi="宋体" w:eastAsia="仿宋_GB2312" w:cs="仿宋_GB2312"/>
          <w:color w:val="auto"/>
          <w:sz w:val="32"/>
          <w:szCs w:val="32"/>
          <w:lang w:val="en-US" w:eastAsia="zh-CN"/>
        </w:rPr>
      </w:pPr>
      <w:r>
        <w:rPr>
          <w:rFonts w:hint="eastAsia" w:ascii="宋体" w:hAnsi="宋体" w:eastAsia="仿宋_GB2312" w:cs="仿宋_GB2312"/>
          <w:color w:val="auto"/>
          <w:sz w:val="32"/>
          <w:szCs w:val="32"/>
          <w:u w:val="none"/>
          <w:lang w:val="en-US" w:eastAsia="zh-CN"/>
        </w:rPr>
        <w:t>支持项目2项，</w:t>
      </w:r>
      <w:r>
        <w:rPr>
          <w:rFonts w:hint="eastAsia" w:ascii="宋体" w:hAnsi="宋体" w:eastAsia="仿宋_GB2312" w:cs="仿宋_GB2312"/>
          <w:color w:val="auto"/>
          <w:sz w:val="32"/>
          <w:lang w:eastAsia="zh-CN"/>
        </w:rPr>
        <w:t>每项</w:t>
      </w:r>
      <w:r>
        <w:rPr>
          <w:rFonts w:hint="eastAsia" w:ascii="宋体" w:hAnsi="宋体" w:eastAsia="仿宋_GB2312" w:cs="仿宋_GB2312"/>
          <w:color w:val="auto"/>
          <w:sz w:val="32"/>
          <w:szCs w:val="32"/>
          <w:lang w:val="en-US" w:eastAsia="zh-CN"/>
        </w:rPr>
        <w:t>经费安排约20万元（经费根据最终批复预算为准）。所有项目任务原则上需在2027年完成。</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宋体" w:hAnsi="宋体" w:eastAsia="仿宋_GB2312" w:cs="仿宋_GB2312"/>
          <w:color w:val="auto"/>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D434B06"/>
    <w:multiLevelType w:val="multilevel"/>
    <w:tmpl w:val="7D434B06"/>
    <w:lvl w:ilvl="0" w:tentative="0">
      <w:start w:val="1"/>
      <w:numFmt w:val="ideographDigital"/>
      <w:pStyle w:val="2"/>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134F33A5"/>
    <w:rsid w:val="1EEB41CF"/>
    <w:rsid w:val="3303AA1A"/>
    <w:rsid w:val="336F5055"/>
    <w:rsid w:val="38EE6366"/>
    <w:rsid w:val="3DFF6B37"/>
    <w:rsid w:val="3EC64430"/>
    <w:rsid w:val="3F3FB24A"/>
    <w:rsid w:val="3FDBD9DD"/>
    <w:rsid w:val="477F15E5"/>
    <w:rsid w:val="4A373BDD"/>
    <w:rsid w:val="4BD177B0"/>
    <w:rsid w:val="4F7DDD13"/>
    <w:rsid w:val="4FCF437F"/>
    <w:rsid w:val="4FDE88B2"/>
    <w:rsid w:val="4FFFBB48"/>
    <w:rsid w:val="57BE4A04"/>
    <w:rsid w:val="59FFC2E8"/>
    <w:rsid w:val="5DF53718"/>
    <w:rsid w:val="5DFB5BEE"/>
    <w:rsid w:val="5DFFBBF4"/>
    <w:rsid w:val="5EBF0A26"/>
    <w:rsid w:val="5EF801CB"/>
    <w:rsid w:val="5F7F6484"/>
    <w:rsid w:val="5FEF6452"/>
    <w:rsid w:val="67FBA4C7"/>
    <w:rsid w:val="68EBE0B8"/>
    <w:rsid w:val="69FF44EF"/>
    <w:rsid w:val="6B559F9D"/>
    <w:rsid w:val="6B97FA4D"/>
    <w:rsid w:val="6BF79FE0"/>
    <w:rsid w:val="6DCF37DB"/>
    <w:rsid w:val="6EEFA7AF"/>
    <w:rsid w:val="6FA8FF5F"/>
    <w:rsid w:val="6FC519D7"/>
    <w:rsid w:val="73D84459"/>
    <w:rsid w:val="73DDCE98"/>
    <w:rsid w:val="73EDF71C"/>
    <w:rsid w:val="75AD682B"/>
    <w:rsid w:val="75BBFF21"/>
    <w:rsid w:val="75CE4322"/>
    <w:rsid w:val="75EF676B"/>
    <w:rsid w:val="76026301"/>
    <w:rsid w:val="77FB7092"/>
    <w:rsid w:val="787FE464"/>
    <w:rsid w:val="79B70BFE"/>
    <w:rsid w:val="79FFDF39"/>
    <w:rsid w:val="7B5908B3"/>
    <w:rsid w:val="7BC74E88"/>
    <w:rsid w:val="7BE3F087"/>
    <w:rsid w:val="7BFDD160"/>
    <w:rsid w:val="7CA15C24"/>
    <w:rsid w:val="7DEBC96A"/>
    <w:rsid w:val="7DFD835E"/>
    <w:rsid w:val="7E7ECC67"/>
    <w:rsid w:val="7EDC03C7"/>
    <w:rsid w:val="7F7B190B"/>
    <w:rsid w:val="7FBB63BA"/>
    <w:rsid w:val="7FDF1D08"/>
    <w:rsid w:val="7FEB9EAF"/>
    <w:rsid w:val="7FED6355"/>
    <w:rsid w:val="7FEFC602"/>
    <w:rsid w:val="7FFF28F7"/>
    <w:rsid w:val="8C2BC2C9"/>
    <w:rsid w:val="8F7E0491"/>
    <w:rsid w:val="9FADF6A2"/>
    <w:rsid w:val="A77F6BD2"/>
    <w:rsid w:val="ABFBFE3D"/>
    <w:rsid w:val="AF97C884"/>
    <w:rsid w:val="B7DF386C"/>
    <w:rsid w:val="B7F14471"/>
    <w:rsid w:val="BDFE453E"/>
    <w:rsid w:val="BFBC2F51"/>
    <w:rsid w:val="BFD96B40"/>
    <w:rsid w:val="BFEF0474"/>
    <w:rsid w:val="BFF82897"/>
    <w:rsid w:val="BFF99CB4"/>
    <w:rsid w:val="CFFD0F2F"/>
    <w:rsid w:val="CFFD351C"/>
    <w:rsid w:val="D537FA35"/>
    <w:rsid w:val="D5E75E78"/>
    <w:rsid w:val="DEA7B56C"/>
    <w:rsid w:val="DFF79763"/>
    <w:rsid w:val="E7CF813B"/>
    <w:rsid w:val="E9EF40BE"/>
    <w:rsid w:val="EE7C406D"/>
    <w:rsid w:val="EFDFBEEB"/>
    <w:rsid w:val="EFE7DCFD"/>
    <w:rsid w:val="EFFB56FB"/>
    <w:rsid w:val="EFFF110E"/>
    <w:rsid w:val="F37EC1FA"/>
    <w:rsid w:val="F5BF5C86"/>
    <w:rsid w:val="F5DD4D55"/>
    <w:rsid w:val="F7E75D8D"/>
    <w:rsid w:val="F7FBA927"/>
    <w:rsid w:val="F7FF4635"/>
    <w:rsid w:val="F7FF86B5"/>
    <w:rsid w:val="F9BB9343"/>
    <w:rsid w:val="FADF6043"/>
    <w:rsid w:val="FBCF86EA"/>
    <w:rsid w:val="FBDD81F8"/>
    <w:rsid w:val="FBFF8F40"/>
    <w:rsid w:val="FD5FE7A3"/>
    <w:rsid w:val="FDEFE361"/>
    <w:rsid w:val="FE77D3DC"/>
    <w:rsid w:val="FED765D3"/>
    <w:rsid w:val="FEDF3363"/>
    <w:rsid w:val="FF125AAC"/>
    <w:rsid w:val="FF2395F4"/>
    <w:rsid w:val="FFBE6DB3"/>
    <w:rsid w:val="FFDE996D"/>
    <w:rsid w:val="FFDF4049"/>
    <w:rsid w:val="FFEF0C56"/>
    <w:rsid w:val="FFFE3E03"/>
    <w:rsid w:val="FFFE5A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仿宋_GB2312"/>
      <w:snapToGrid w:val="0"/>
      <w:color w:val="000000"/>
      <w:kern w:val="0"/>
      <w:sz w:val="32"/>
      <w:szCs w:val="32"/>
      <w:lang w:val="en-US" w:eastAsia="en-US" w:bidi="ar-SA"/>
    </w:rPr>
  </w:style>
  <w:style w:type="paragraph" w:styleId="2">
    <w:name w:val="heading 1"/>
    <w:basedOn w:val="1"/>
    <w:next w:val="1"/>
    <w:qFormat/>
    <w:uiPriority w:val="0"/>
    <w:pPr>
      <w:keepNext/>
      <w:keepLines/>
      <w:numPr>
        <w:ilvl w:val="0"/>
        <w:numId w:val="1"/>
      </w:numPr>
      <w:outlineLvl w:val="0"/>
    </w:pPr>
    <w:rPr>
      <w:rFonts w:ascii="Times New Roman" w:hAnsi="Times New Roman" w:eastAsia="黑体" w:cs="Times New Roman"/>
      <w:bCs/>
      <w:kern w:val="44"/>
      <w:sz w:val="30"/>
      <w:szCs w:val="44"/>
      <w:lang w:val="en-US" w:eastAsia="zh-CN" w:bidi="ar-SA"/>
    </w:rPr>
  </w:style>
  <w:style w:type="paragraph" w:styleId="3">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character" w:customStyle="1" w:styleId="7">
    <w:name w:val="font81"/>
    <w:basedOn w:val="6"/>
    <w:qFormat/>
    <w:uiPriority w:val="0"/>
    <w:rPr>
      <w:rFonts w:hint="eastAsia"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河源市市场监管局</Company>
  <Pages>1</Pages>
  <Words>0</Words>
  <Characters>0</Characters>
  <Lines>0</Lines>
  <Paragraphs>0</Paragraphs>
  <TotalTime>11</TotalTime>
  <ScaleCrop>false</ScaleCrop>
  <LinksUpToDate>false</LinksUpToDate>
  <CharactersWithSpaces>0</CharactersWithSpaces>
  <Application>WPS Office_11.8.2.1132_F1E327BC-269C-435d-A152-05C5408002CA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2025-07-20T08:47:00Z</dcterms:created>
  <dc:creator>LM</dc:creator>
  <cp:lastModifiedBy>fghf</cp:lastModifiedBy>
  <dcterms:modified xsi:type="dcterms:W3CDTF">2026-08-13T15:34:13Z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ICV">
    <vt:lpwstr>7D7F6441A8DD1354B541836814CCC172</vt:lpwstr>
  </property>
</Properties>
</file>