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eastAsia" w:ascii="方正小标宋简体" w:hAnsi="方正小标宋简体" w:eastAsia="方正小标宋简体" w:cs="方正小标宋简体"/>
          <w:bCs/>
          <w:spacing w:val="0"/>
          <w:sz w:val="32"/>
          <w:szCs w:val="32"/>
          <w:lang w:val="en-US" w:eastAsia="zh-CN"/>
        </w:rPr>
      </w:pPr>
      <w:r>
        <w:rPr>
          <w:rFonts w:hint="eastAsia" w:ascii="方正小标宋简体" w:hAnsi="方正小标宋简体" w:eastAsia="方正小标宋简体" w:cs="方正小标宋简体"/>
          <w:bCs/>
          <w:spacing w:val="0"/>
          <w:sz w:val="32"/>
          <w:szCs w:val="32"/>
          <w:lang w:val="en-US" w:eastAsia="zh-CN"/>
        </w:rPr>
        <w:t>河源市住房公积金个人住房贷款还款委托协议</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仿宋_GB2312" w:eastAsia="仿宋_GB2312"/>
          <w:bCs/>
          <w:spacing w:val="0"/>
          <w:sz w:val="22"/>
          <w:szCs w:val="22"/>
          <w:lang w:val="en-US" w:eastAsia="zh-CN"/>
        </w:rPr>
      </w:pPr>
      <w:r>
        <w:rPr>
          <w:rFonts w:hint="eastAsia" w:ascii="仿宋_GB2312" w:eastAsia="仿宋_GB2312"/>
          <w:bCs/>
          <w:spacing w:val="0"/>
          <w:sz w:val="22"/>
          <w:szCs w:val="22"/>
          <w:lang w:val="en-US" w:eastAsia="zh-CN"/>
        </w:rPr>
        <w:t>委托人（甲方）：                   受托人（乙方）：河源市住房公积金管理中心</w:t>
      </w:r>
    </w:p>
    <w:tbl>
      <w:tblPr>
        <w:tblStyle w:val="4"/>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229"/>
        <w:gridCol w:w="1546"/>
        <w:gridCol w:w="2288"/>
        <w:gridCol w:w="2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lang w:val="en-US" w:eastAsia="zh-CN"/>
              </w:rPr>
              <w:t>借款人姓名</w:t>
            </w:r>
          </w:p>
        </w:tc>
        <w:tc>
          <w:tcPr>
            <w:tcW w:w="1546"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eastAsia="仿宋_GB2312"/>
                <w:bCs/>
                <w:spacing w:val="0"/>
                <w:sz w:val="22"/>
                <w:szCs w:val="22"/>
                <w:vertAlign w:val="baseline"/>
                <w:lang w:val="en-US" w:eastAsia="zh-CN"/>
              </w:rPr>
            </w:pPr>
          </w:p>
        </w:tc>
        <w:tc>
          <w:tcPr>
            <w:tcW w:w="2288"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借款人身份证号码</w:t>
            </w:r>
          </w:p>
        </w:tc>
        <w:tc>
          <w:tcPr>
            <w:tcW w:w="2878"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eastAsia="仿宋_GB2312"/>
                <w:bCs/>
                <w:spacing w:val="0"/>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借款人手机号码</w:t>
            </w:r>
          </w:p>
        </w:tc>
        <w:tc>
          <w:tcPr>
            <w:tcW w:w="1546"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eastAsia="仿宋_GB2312"/>
                <w:bCs/>
                <w:spacing w:val="0"/>
                <w:sz w:val="22"/>
                <w:szCs w:val="22"/>
                <w:vertAlign w:val="baseline"/>
                <w:lang w:val="en-US" w:eastAsia="zh-CN"/>
              </w:rPr>
            </w:pPr>
          </w:p>
        </w:tc>
        <w:tc>
          <w:tcPr>
            <w:tcW w:w="2288"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sz w:val="22"/>
              </w:rPr>
              <w:t>借款合同编号</w:t>
            </w:r>
          </w:p>
        </w:tc>
        <w:tc>
          <w:tcPr>
            <w:tcW w:w="2878"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eastAsia="仿宋_GB2312"/>
                <w:bCs/>
                <w:spacing w:val="0"/>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贷款金额</w:t>
            </w:r>
          </w:p>
        </w:tc>
        <w:tc>
          <w:tcPr>
            <w:tcW w:w="1546"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eastAsia="仿宋_GB2312"/>
                <w:bCs/>
                <w:spacing w:val="0"/>
                <w:sz w:val="22"/>
                <w:szCs w:val="22"/>
                <w:vertAlign w:val="baseline"/>
                <w:lang w:val="en-US" w:eastAsia="zh-CN"/>
              </w:rPr>
            </w:pPr>
          </w:p>
        </w:tc>
        <w:tc>
          <w:tcPr>
            <w:tcW w:w="2288"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贷款期限</w:t>
            </w:r>
          </w:p>
        </w:tc>
        <w:tc>
          <w:tcPr>
            <w:tcW w:w="2878"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eastAsia="仿宋_GB2312"/>
                <w:bCs/>
                <w:spacing w:val="0"/>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贷款银行</w:t>
            </w:r>
          </w:p>
        </w:tc>
        <w:tc>
          <w:tcPr>
            <w:tcW w:w="1546"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eastAsia="仿宋_GB2312"/>
                <w:bCs/>
                <w:spacing w:val="0"/>
                <w:sz w:val="22"/>
                <w:szCs w:val="22"/>
                <w:vertAlign w:val="baseline"/>
                <w:lang w:val="en-US" w:eastAsia="zh-CN"/>
              </w:rPr>
            </w:pPr>
          </w:p>
        </w:tc>
        <w:tc>
          <w:tcPr>
            <w:tcW w:w="2288"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还款日</w:t>
            </w:r>
          </w:p>
        </w:tc>
        <w:tc>
          <w:tcPr>
            <w:tcW w:w="2878"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每月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0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约定还款账户户名</w:t>
            </w:r>
          </w:p>
        </w:tc>
        <w:tc>
          <w:tcPr>
            <w:tcW w:w="1546"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c>
          <w:tcPr>
            <w:tcW w:w="2288"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约定还款银行账户</w:t>
            </w:r>
          </w:p>
        </w:tc>
        <w:tc>
          <w:tcPr>
            <w:tcW w:w="2878"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eastAsia="仿宋_GB231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还款类型</w:t>
            </w:r>
          </w:p>
        </w:tc>
        <w:tc>
          <w:tcPr>
            <w:tcW w:w="671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sz w:val="22"/>
              </w:rPr>
              <w:t>□</w:t>
            </w:r>
            <w:r>
              <w:rPr>
                <w:rFonts w:hint="eastAsia" w:ascii="仿宋_GB2312" w:eastAsia="仿宋_GB2312"/>
                <w:sz w:val="22"/>
                <w:lang w:eastAsia="zh-CN"/>
              </w:rPr>
              <w:t>优先住房公积金账户还款</w:t>
            </w:r>
            <w:r>
              <w:rPr>
                <w:rFonts w:hint="eastAsia" w:ascii="仿宋_GB2312" w:eastAsia="仿宋_GB2312"/>
                <w:sz w:val="22"/>
                <w:lang w:val="en-US" w:eastAsia="zh-CN"/>
              </w:rPr>
              <w:t xml:space="preserve">           </w:t>
            </w:r>
            <w:r>
              <w:rPr>
                <w:rFonts w:hint="eastAsia" w:ascii="仿宋_GB2312" w:eastAsia="仿宋_GB2312"/>
                <w:sz w:val="22"/>
              </w:rPr>
              <w:sym w:font="Wingdings 2" w:char="00A3"/>
            </w:r>
            <w:r>
              <w:rPr>
                <w:rFonts w:hint="eastAsia" w:ascii="仿宋_GB2312" w:eastAsia="仿宋_GB2312"/>
                <w:sz w:val="22"/>
                <w:lang w:eastAsia="zh-CN"/>
              </w:rPr>
              <w:t>优先银行账户还款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约</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定</w:t>
            </w:r>
          </w:p>
        </w:tc>
        <w:tc>
          <w:tcPr>
            <w:tcW w:w="1229"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Times New Roman" w:eastAsia="仿宋_GB2312" w:cs="Times New Roman"/>
                <w:bCs/>
                <w:spacing w:val="0"/>
                <w:kern w:val="2"/>
                <w:sz w:val="22"/>
                <w:szCs w:val="22"/>
                <w:vertAlign w:val="baseline"/>
                <w:lang w:val="en-US" w:eastAsia="zh-CN"/>
              </w:rPr>
            </w:pPr>
            <w:r>
              <w:rPr>
                <w:rFonts w:hint="eastAsia" w:ascii="仿宋_GB2312" w:eastAsia="仿宋_GB2312"/>
                <w:bCs/>
                <w:spacing w:val="0"/>
                <w:sz w:val="22"/>
                <w:szCs w:val="22"/>
                <w:vertAlign w:val="baseline"/>
                <w:lang w:val="en-US" w:eastAsia="zh-CN"/>
              </w:rPr>
              <w:t>代扣顺序</w:t>
            </w:r>
          </w:p>
        </w:tc>
        <w:tc>
          <w:tcPr>
            <w:tcW w:w="1546"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代扣人姓名</w:t>
            </w:r>
          </w:p>
        </w:tc>
        <w:tc>
          <w:tcPr>
            <w:tcW w:w="2288"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代扣人身份证号码</w:t>
            </w:r>
          </w:p>
        </w:tc>
        <w:tc>
          <w:tcPr>
            <w:tcW w:w="2878"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代扣住房公积金个人账号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c>
          <w:tcPr>
            <w:tcW w:w="1229"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Times New Roman" w:eastAsia="仿宋_GB2312" w:cs="Times New Roman"/>
                <w:bCs/>
                <w:spacing w:val="0"/>
                <w:kern w:val="2"/>
                <w:sz w:val="22"/>
                <w:szCs w:val="22"/>
                <w:vertAlign w:val="baseline"/>
                <w:lang w:val="en-US" w:eastAsia="zh-CN"/>
              </w:rPr>
            </w:pPr>
            <w:r>
              <w:rPr>
                <w:rFonts w:hint="eastAsia" w:ascii="仿宋_GB2312" w:eastAsia="仿宋_GB2312"/>
                <w:bCs/>
                <w:spacing w:val="0"/>
                <w:sz w:val="22"/>
                <w:szCs w:val="22"/>
                <w:vertAlign w:val="baseline"/>
                <w:lang w:val="en-US" w:eastAsia="zh-CN"/>
              </w:rPr>
              <w:t>1</w:t>
            </w:r>
          </w:p>
        </w:tc>
        <w:tc>
          <w:tcPr>
            <w:tcW w:w="1546"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c>
          <w:tcPr>
            <w:tcW w:w="2288"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c>
          <w:tcPr>
            <w:tcW w:w="2878"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c>
          <w:tcPr>
            <w:tcW w:w="1229"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Times New Roman" w:eastAsia="仿宋_GB2312" w:cs="Times New Roman"/>
                <w:bCs/>
                <w:spacing w:val="0"/>
                <w:kern w:val="2"/>
                <w:sz w:val="22"/>
                <w:szCs w:val="22"/>
                <w:vertAlign w:val="baseline"/>
                <w:lang w:val="en-US" w:eastAsia="zh-CN"/>
              </w:rPr>
            </w:pPr>
            <w:r>
              <w:rPr>
                <w:rFonts w:hint="eastAsia" w:ascii="仿宋_GB2312" w:eastAsia="仿宋_GB2312"/>
                <w:bCs/>
                <w:spacing w:val="0"/>
                <w:sz w:val="22"/>
                <w:szCs w:val="22"/>
                <w:vertAlign w:val="baseline"/>
                <w:lang w:val="en-US" w:eastAsia="zh-CN"/>
              </w:rPr>
              <w:t>2</w:t>
            </w:r>
          </w:p>
        </w:tc>
        <w:tc>
          <w:tcPr>
            <w:tcW w:w="1546"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c>
          <w:tcPr>
            <w:tcW w:w="2288"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c>
          <w:tcPr>
            <w:tcW w:w="2878"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c>
          <w:tcPr>
            <w:tcW w:w="1229"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Times New Roman" w:eastAsia="仿宋_GB2312" w:cs="Times New Roman"/>
                <w:bCs/>
                <w:spacing w:val="0"/>
                <w:kern w:val="2"/>
                <w:sz w:val="22"/>
                <w:szCs w:val="22"/>
                <w:vertAlign w:val="baseline"/>
                <w:lang w:val="en-US" w:eastAsia="zh-CN"/>
              </w:rPr>
            </w:pPr>
            <w:r>
              <w:rPr>
                <w:rFonts w:hint="eastAsia" w:ascii="仿宋_GB2312" w:eastAsia="仿宋_GB2312"/>
                <w:bCs/>
                <w:spacing w:val="0"/>
                <w:sz w:val="22"/>
                <w:szCs w:val="22"/>
                <w:vertAlign w:val="baseline"/>
                <w:lang w:val="en-US" w:eastAsia="zh-CN"/>
              </w:rPr>
              <w:t>3</w:t>
            </w:r>
          </w:p>
        </w:tc>
        <w:tc>
          <w:tcPr>
            <w:tcW w:w="1546"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c>
          <w:tcPr>
            <w:tcW w:w="2288"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c>
          <w:tcPr>
            <w:tcW w:w="2878"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c>
          <w:tcPr>
            <w:tcW w:w="1229"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Times New Roman" w:eastAsia="仿宋_GB2312" w:cs="Times New Roman"/>
                <w:bCs/>
                <w:spacing w:val="0"/>
                <w:kern w:val="2"/>
                <w:sz w:val="22"/>
                <w:szCs w:val="22"/>
                <w:vertAlign w:val="baseline"/>
                <w:lang w:val="en-US" w:eastAsia="zh-CN"/>
              </w:rPr>
            </w:pPr>
            <w:r>
              <w:rPr>
                <w:rFonts w:hint="eastAsia" w:ascii="仿宋_GB2312" w:eastAsia="仿宋_GB2312"/>
                <w:bCs/>
                <w:spacing w:val="0"/>
                <w:sz w:val="22"/>
                <w:szCs w:val="22"/>
                <w:vertAlign w:val="baseline"/>
                <w:lang w:val="en-US" w:eastAsia="zh-CN"/>
              </w:rPr>
              <w:t>4</w:t>
            </w:r>
          </w:p>
        </w:tc>
        <w:tc>
          <w:tcPr>
            <w:tcW w:w="1546"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c>
          <w:tcPr>
            <w:tcW w:w="2288"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c>
          <w:tcPr>
            <w:tcW w:w="2878"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eastAsia="仿宋_GB2312"/>
                <w:bCs/>
                <w:spacing w:val="0"/>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8" w:hRule="atLeast"/>
        </w:trPr>
        <w:tc>
          <w:tcPr>
            <w:tcW w:w="8720" w:type="dxa"/>
            <w:gridSpan w:val="5"/>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20" w:firstLineChars="190"/>
              <w:jc w:val="both"/>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
                <w:bCs w:val="0"/>
                <w:spacing w:val="0"/>
                <w:sz w:val="22"/>
                <w:szCs w:val="22"/>
                <w:vertAlign w:val="baseline"/>
                <w:lang w:val="en-US" w:eastAsia="zh-CN"/>
              </w:rPr>
              <w:t>经甲乙双方协商，达成以下协议：</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right="0" w:rightChars="0" w:firstLine="418" w:firstLineChars="190"/>
              <w:jc w:val="both"/>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本协议自签订之日起生效。协议有效期内，乙方按约定顺序从代扣账户中扣划资金用于偿还上述住房公积金贷款应还本金、利息、罚息、违约金，该扣划行为不可撤销。</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right="0" w:rightChars="0" w:firstLine="418" w:firstLineChars="190"/>
              <w:jc w:val="both"/>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优先住房公积金账户还款的，乙方于每月还款日，按照本协议确定的代扣顺序从甲方住房公积金缴存账户依次划转；甲方住房公积金缴存账户余额不足当期扣划的，不足部分从约定还款银行账户中扣划。</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right="0" w:rightChars="0" w:firstLine="418" w:firstLineChars="190"/>
              <w:jc w:val="both"/>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优先银行账户还款的，乙方于每月还款日从约定还款银行账户中扣划；甲方约定还款银行账户余额不足当期扣划的，不足部分于还款日次日，按照本协议确定的代扣顺序从甲方住房公积金缴存账户依次划转。</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right="0" w:rightChars="0" w:firstLine="418" w:firstLineChars="190"/>
              <w:jc w:val="both"/>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因甲方约定还款账户余额不足导致贷款逾期的，由甲方承担相关责任。</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right="0" w:rightChars="0" w:firstLine="418" w:firstLineChars="190"/>
              <w:jc w:val="both"/>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甲方需变更还款类型或代扣顺序的，可申请重新签订本协议。</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right="0" w:rightChars="0" w:firstLine="418" w:firstLineChars="190"/>
              <w:jc w:val="both"/>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甲方手机号码变更的，应及时到乙方业务网点办理联系方式变更业务。因未及时变更联系方式导致无法接收还款短信提醒的，由甲方承担相关责任。</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right="0" w:rightChars="0" w:firstLine="418" w:firstLineChars="190"/>
              <w:jc w:val="both"/>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在还款期间，甲方约定还款银行账户发生丢失、损坏等情况，需变更还款银行账户的，应持本人身份证、拟变更账户银行卡原件到乙方业务网点办理还款账户变更业务。</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right="0" w:rightChars="0" w:firstLine="418" w:firstLineChars="190"/>
              <w:jc w:val="both"/>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发生以下情形的，本协议自动终止</w:t>
            </w:r>
            <w:bookmarkStart w:id="0" w:name="_GoBack"/>
            <w:bookmarkEnd w:id="0"/>
            <w:r>
              <w:rPr>
                <w:rFonts w:hint="eastAsia" w:ascii="仿宋_GB2312" w:eastAsia="仿宋_GB2312"/>
                <w:bCs/>
                <w:spacing w:val="0"/>
                <w:sz w:val="22"/>
                <w:szCs w:val="22"/>
                <w:vertAlign w:val="baseline"/>
                <w:lang w:val="en-US" w:eastAsia="zh-CN"/>
              </w:rPr>
              <w:t>：1.贷款本息已结清的；2.甲方全部公积金缴存账户发生冻结、销户、转移至外市的；3.重新签订新协议的。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_GB2312" w:eastAsia="仿宋_GB2312"/>
                <w:bCs/>
                <w:spacing w:val="0"/>
                <w:sz w:val="22"/>
                <w:szCs w:val="22"/>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_GB2312" w:eastAsia="仿宋_GB2312"/>
                <w:bCs/>
                <w:spacing w:val="0"/>
                <w:sz w:val="22"/>
                <w:szCs w:val="22"/>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18" w:firstLineChars="190"/>
              <w:jc w:val="both"/>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甲方（签名）：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18" w:firstLineChars="190"/>
              <w:jc w:val="both"/>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乙方：</w:t>
            </w:r>
            <w:r>
              <w:rPr>
                <w:rFonts w:hint="eastAsia" w:ascii="仿宋_GB2312" w:eastAsia="仿宋_GB2312"/>
                <w:bCs/>
                <w:spacing w:val="0"/>
                <w:sz w:val="22"/>
                <w:szCs w:val="22"/>
                <w:u w:val="none"/>
                <w:vertAlign w:val="baseline"/>
                <w:lang w:val="en-US" w:eastAsia="zh-CN"/>
              </w:rPr>
              <w:t>河源市</w:t>
            </w:r>
            <w:r>
              <w:rPr>
                <w:rFonts w:hint="eastAsia" w:ascii="仿宋_GB2312" w:eastAsia="仿宋_GB2312"/>
                <w:bCs/>
                <w:spacing w:val="0"/>
                <w:sz w:val="22"/>
                <w:szCs w:val="22"/>
                <w:vertAlign w:val="baseline"/>
                <w:lang w:val="en-US" w:eastAsia="zh-CN"/>
              </w:rPr>
              <w:t>住房公积金管理中心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18" w:firstLineChars="190"/>
              <w:jc w:val="both"/>
              <w:textAlignment w:val="auto"/>
              <w:outlineLvl w:val="9"/>
              <w:rPr>
                <w:rFonts w:hint="eastAsia" w:ascii="仿宋_GB2312" w:eastAsia="仿宋_GB2312"/>
                <w:bCs/>
                <w:spacing w:val="0"/>
                <w:sz w:val="22"/>
                <w:szCs w:val="22"/>
                <w:vertAlign w:val="baseline"/>
                <w:lang w:val="en-US" w:eastAsia="zh-CN"/>
              </w:rPr>
            </w:pPr>
            <w:r>
              <w:rPr>
                <w:rFonts w:hint="eastAsia" w:ascii="仿宋_GB2312" w:eastAsia="仿宋_GB2312"/>
                <w:bCs/>
                <w:spacing w:val="0"/>
                <w:sz w:val="22"/>
                <w:szCs w:val="22"/>
                <w:vertAlign w:val="baseline"/>
                <w:lang w:val="en-US" w:eastAsia="zh-CN"/>
              </w:rPr>
              <w:t>时间：     年    月   日</w:t>
            </w:r>
          </w:p>
        </w:tc>
      </w:tr>
    </w:tbl>
    <w:p>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both"/>
        <w:textAlignment w:val="auto"/>
      </w:pPr>
    </w:p>
    <w:sectPr>
      <w:footerReference r:id="rId3" w:type="default"/>
      <w:pgSz w:w="11906" w:h="16838"/>
      <w:pgMar w:top="1440" w:right="1701" w:bottom="1440" w:left="1701" w:header="851" w:footer="992" w:gutter="0"/>
      <w:pgNumType w:fmt="numberInDash"/>
      <w:cols w:space="72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484F4F"/>
    <w:multiLevelType w:val="singleLevel"/>
    <w:tmpl w:val="5B484F4F"/>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D75A29"/>
    <w:rsid w:val="2AFFCC64"/>
    <w:rsid w:val="54965BD6"/>
    <w:rsid w:val="60206614"/>
    <w:rsid w:val="78F73487"/>
    <w:rsid w:val="797B7A65"/>
    <w:rsid w:val="7AFF3408"/>
    <w:rsid w:val="7B464ED6"/>
    <w:rsid w:val="7B5FFDA0"/>
    <w:rsid w:val="7BFFE6E3"/>
    <w:rsid w:val="7C7DD332"/>
    <w:rsid w:val="7FEB4FA2"/>
    <w:rsid w:val="BBF7558D"/>
    <w:rsid w:val="BFBF1E53"/>
    <w:rsid w:val="CFBAA228"/>
    <w:rsid w:val="FFD7AB73"/>
    <w:rsid w:val="FFFCBA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Office_11.8.2.10533_F1E327BC-269C-435d-A152-05C5408002CA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HY</dc:creator>
  <cp:lastModifiedBy>后来</cp:lastModifiedBy>
  <cp:lastPrinted>2026-06-10T00:58:00Z</cp:lastPrinted>
  <dcterms:modified xsi:type="dcterms:W3CDTF">2026-06-10T16:10:00Z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2052-11.8.2.10533</vt:lpwstr>
  </property>
</Properties>
</file>