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E55EC">
      <w:pPr>
        <w:spacing w:line="572"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11C3FCE">
      <w:pPr>
        <w:spacing w:line="572" w:lineRule="exact"/>
        <w:rPr>
          <w:rFonts w:ascii="Times New Roman" w:hAnsi="Times New Roman" w:eastAsia="仿宋_GB2312" w:cs="Times New Roman"/>
          <w:sz w:val="32"/>
          <w:szCs w:val="32"/>
        </w:rPr>
      </w:pPr>
    </w:p>
    <w:p w14:paraId="2857EA9E">
      <w:pPr>
        <w:spacing w:line="572"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年度河源市自然资源工程技术</w:t>
      </w:r>
    </w:p>
    <w:p w14:paraId="5D178A19">
      <w:pPr>
        <w:spacing w:line="572"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人才职称评审通过人员评后公示</w:t>
      </w:r>
    </w:p>
    <w:p w14:paraId="2FB36F19">
      <w:pPr>
        <w:spacing w:line="572" w:lineRule="exact"/>
        <w:rPr>
          <w:rFonts w:ascii="Times New Roman" w:hAnsi="Times New Roman" w:eastAsia="仿宋_GB2312" w:cs="Times New Roman"/>
          <w:sz w:val="32"/>
          <w:szCs w:val="32"/>
        </w:rPr>
      </w:pPr>
    </w:p>
    <w:p w14:paraId="14F652DC">
      <w:pPr>
        <w:spacing w:line="572"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rPr>
        <w:t>根据《广东省人力资源和社会保障厅关于印发广东省职称评审管理服务实施办法及配套规定的通知》</w:t>
      </w:r>
      <w:r>
        <w:rPr>
          <w:rFonts w:hint="eastAsia" w:ascii="Times New Roman" w:hAnsi="Times New Roman" w:eastAsia="仿宋_GB2312" w:cs="Times New Roman"/>
          <w:sz w:val="32"/>
          <w:szCs w:val="32"/>
          <w:lang w:eastAsia="zh-CN"/>
        </w:rPr>
        <w:t>（粤人社规〔</w:t>
      </w:r>
      <w:r>
        <w:rPr>
          <w:rFonts w:hint="eastAsia" w:ascii="Times New Roman" w:hAnsi="Times New Roman" w:eastAsia="仿宋_GB2312" w:cs="Times New Roman"/>
          <w:sz w:val="32"/>
          <w:szCs w:val="32"/>
          <w:lang w:val="en-US" w:eastAsia="zh-CN"/>
        </w:rPr>
        <w:t>2020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33号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要求，现对本单位申报</w:t>
      </w:r>
      <w:r>
        <w:rPr>
          <w:rFonts w:hint="eastAsia" w:ascii="Times New Roman" w:hAnsi="Times New Roman" w:eastAsia="仿宋_GB2312" w:cs="Times New Roman"/>
          <w:sz w:val="32"/>
          <w:szCs w:val="32"/>
          <w:lang w:val="en-US" w:eastAsia="zh-CN"/>
        </w:rPr>
        <w:t>2025年度</w:t>
      </w:r>
      <w:r>
        <w:rPr>
          <w:rFonts w:hint="eastAsia" w:ascii="Times New Roman" w:hAnsi="Times New Roman" w:eastAsia="仿宋_GB2312" w:cs="Times New Roman"/>
          <w:sz w:val="32"/>
          <w:szCs w:val="32"/>
        </w:rPr>
        <w:t>河源市自然资源工程技术人才职称并经</w:t>
      </w:r>
      <w:r>
        <w:rPr>
          <w:rFonts w:hint="eastAsia" w:ascii="Times New Roman" w:hAnsi="Times New Roman" w:eastAsia="仿宋_GB2312" w:cs="Times New Roman"/>
          <w:sz w:val="32"/>
          <w:szCs w:val="32"/>
          <w:highlight w:val="none"/>
        </w:rPr>
        <w:t>评审通过的</w:t>
      </w:r>
      <w:r>
        <w:rPr>
          <w:rFonts w:hint="eastAsia" w:ascii="Times New Roman" w:hAnsi="Times New Roman" w:eastAsia="仿宋_GB2312" w:cs="Times New Roman"/>
          <w:sz w:val="32"/>
          <w:szCs w:val="32"/>
          <w:highlight w:val="none"/>
          <w:lang w:val="en-US" w:eastAsia="zh-CN"/>
        </w:rPr>
        <w:t>XXX</w:t>
      </w:r>
      <w:r>
        <w:rPr>
          <w:rFonts w:hint="eastAsia" w:ascii="Times New Roman" w:hAnsi="Times New Roman" w:eastAsia="仿宋_GB2312" w:cs="Times New Roman"/>
          <w:sz w:val="32"/>
          <w:szCs w:val="32"/>
          <w:highlight w:val="none"/>
        </w:rPr>
        <w:t>等人员（名单见附件）进行公示。</w:t>
      </w:r>
    </w:p>
    <w:p w14:paraId="31231FE0">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highlight w:val="none"/>
        </w:rPr>
        <w:t>公示时间从202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XX</w:t>
      </w:r>
      <w:r>
        <w:rPr>
          <w:rFonts w:hint="eastAsia" w:ascii="Times New Roman" w:hAnsi="Times New Roman" w:eastAsia="仿宋_GB2312" w:cs="Times New Roman"/>
          <w:sz w:val="32"/>
          <w:szCs w:val="32"/>
          <w:highlight w:val="none"/>
        </w:rPr>
        <w:t>日至</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XX</w:t>
      </w:r>
      <w:bookmarkStart w:id="0" w:name="_GoBack"/>
      <w:bookmarkEnd w:id="0"/>
      <w:r>
        <w:rPr>
          <w:rFonts w:hint="eastAsia" w:ascii="Times New Roman" w:hAnsi="Times New Roman" w:eastAsia="仿宋_GB2312" w:cs="Times New Roman"/>
          <w:sz w:val="32"/>
          <w:szCs w:val="32"/>
          <w:highlight w:val="none"/>
        </w:rPr>
        <w:t>日（5个工作日）</w:t>
      </w:r>
      <w:r>
        <w:rPr>
          <w:rFonts w:hint="eastAsia" w:ascii="Times New Roman" w:hAnsi="Times New Roman" w:eastAsia="仿宋_GB2312" w:cs="Times New Roman"/>
          <w:sz w:val="32"/>
          <w:szCs w:val="32"/>
        </w:rPr>
        <w:t>。若对通过人员取得资格有异议，请在公示时间内电话或书面向本单位反映。反映情况的电话和书面材料要自报或签署真实姓名（姓名须用手写，不得用电脑打印），不报或不签署真实姓名的，以及公示时间截止后（以寄出邮戳为准）反映的材料不予受理。</w:t>
      </w:r>
    </w:p>
    <w:p w14:paraId="5BE20AEA">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本单位受理情况反映的电话及地址：</w:t>
      </w:r>
    </w:p>
    <w:p w14:paraId="1E0A2A5C">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w:t>
      </w:r>
    </w:p>
    <w:p w14:paraId="2ADDC9BA">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联系电话：</w:t>
      </w:r>
    </w:p>
    <w:p w14:paraId="61632A8B">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地址：</w:t>
      </w:r>
    </w:p>
    <w:p w14:paraId="163C2A3A">
      <w:pPr>
        <w:spacing w:line="572" w:lineRule="exact"/>
        <w:ind w:firstLine="640" w:firstLineChars="200"/>
        <w:rPr>
          <w:rFonts w:ascii="Times New Roman" w:hAnsi="Times New Roman" w:eastAsia="仿宋_GB2312" w:cs="Times New Roman"/>
          <w:sz w:val="32"/>
          <w:szCs w:val="32"/>
        </w:rPr>
      </w:pPr>
    </w:p>
    <w:p w14:paraId="13D02B21">
      <w:pPr>
        <w:spacing w:line="572"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（单位落款盖章）</w:t>
      </w:r>
    </w:p>
    <w:p w14:paraId="5F9B28D4">
      <w:pPr>
        <w:spacing w:line="572" w:lineRule="exact"/>
        <w:ind w:firstLine="5440" w:firstLineChars="17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  月  日</w:t>
      </w:r>
    </w:p>
    <w:p w14:paraId="2FE5F926">
      <w:pPr>
        <w:spacing w:line="572" w:lineRule="exact"/>
        <w:rPr>
          <w:rFonts w:hint="eastAsia" w:ascii="仿宋_GB2312" w:hAnsi="仿宋_GB2312" w:eastAsia="仿宋_GB2312" w:cs="仿宋_GB2312"/>
          <w:sz w:val="32"/>
          <w:szCs w:val="32"/>
        </w:rPr>
      </w:pPr>
    </w:p>
    <w:p w14:paraId="5FE6AEC0">
      <w:pPr>
        <w:spacing w:line="572" w:lineRule="exact"/>
        <w:rPr>
          <w:rFonts w:hint="eastAsia" w:ascii="仿宋_GB2312" w:hAnsi="仿宋_GB2312" w:eastAsia="仿宋_GB2312" w:cs="仿宋_GB2312"/>
          <w:sz w:val="32"/>
          <w:szCs w:val="32"/>
        </w:rPr>
      </w:pPr>
    </w:p>
    <w:p w14:paraId="6B4E05F8">
      <w:pPr>
        <w:spacing w:line="572" w:lineRule="exact"/>
        <w:rPr>
          <w:rFonts w:ascii="仿宋_GB2312" w:hAnsi="仿宋_GB2312" w:eastAsia="仿宋_GB2312" w:cs="仿宋_GB2312"/>
          <w:sz w:val="32"/>
          <w:szCs w:val="32"/>
        </w:rPr>
      </w:pPr>
    </w:p>
    <w:p w14:paraId="6E29B0A6">
      <w:pPr>
        <w:spacing w:line="572" w:lineRule="exact"/>
        <w:rPr>
          <w:rFonts w:hint="eastAsia" w:ascii="黑体" w:hAnsi="黑体" w:eastAsia="黑体" w:cs="黑体"/>
          <w:sz w:val="32"/>
          <w:szCs w:val="32"/>
        </w:rPr>
      </w:pPr>
      <w:r>
        <w:rPr>
          <w:rFonts w:hint="eastAsia" w:ascii="黑体" w:hAnsi="黑体" w:eastAsia="黑体" w:cs="黑体"/>
          <w:sz w:val="32"/>
          <w:szCs w:val="32"/>
        </w:rPr>
        <w:t>附件</w:t>
      </w:r>
    </w:p>
    <w:p w14:paraId="72DC8D5F">
      <w:pPr>
        <w:spacing w:line="572" w:lineRule="exact"/>
        <w:rPr>
          <w:rFonts w:ascii="黑体" w:hAnsi="黑体" w:eastAsia="黑体" w:cs="黑体"/>
          <w:sz w:val="32"/>
          <w:szCs w:val="32"/>
        </w:rPr>
      </w:pPr>
    </w:p>
    <w:p w14:paraId="4E04DD1C">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w:t>
      </w:r>
      <w:r>
        <w:rPr>
          <w:rFonts w:hint="eastAsia" w:ascii="方正小标宋简体" w:hAnsi="方正小标宋简体" w:eastAsia="方正小标宋简体" w:cs="方正小标宋简体"/>
          <w:bCs/>
          <w:sz w:val="36"/>
          <w:szCs w:val="36"/>
          <w:lang w:val="en-US" w:eastAsia="zh-CN"/>
        </w:rPr>
        <w:t>5</w:t>
      </w:r>
      <w:r>
        <w:rPr>
          <w:rFonts w:hint="eastAsia" w:ascii="方正小标宋简体" w:hAnsi="方正小标宋简体" w:eastAsia="方正小标宋简体" w:cs="方正小标宋简体"/>
          <w:bCs/>
          <w:sz w:val="36"/>
          <w:szCs w:val="36"/>
        </w:rPr>
        <w:t>年度河源市自然资源工程技术</w:t>
      </w:r>
    </w:p>
    <w:p w14:paraId="37007B71">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人才职称评审通过人员名单</w:t>
      </w:r>
    </w:p>
    <w:p w14:paraId="015506C4">
      <w:pPr>
        <w:rPr>
          <w:rFonts w:ascii="微软简标宋" w:eastAsia="微软简标宋"/>
          <w:szCs w:val="21"/>
        </w:rPr>
      </w:pPr>
    </w:p>
    <w:tbl>
      <w:tblPr>
        <w:tblStyle w:val="4"/>
        <w:tblW w:w="10638" w:type="dxa"/>
        <w:tblInd w:w="-612" w:type="dxa"/>
        <w:tblLayout w:type="fixed"/>
        <w:tblCellMar>
          <w:top w:w="0" w:type="dxa"/>
          <w:left w:w="108" w:type="dxa"/>
          <w:bottom w:w="0" w:type="dxa"/>
          <w:right w:w="108" w:type="dxa"/>
        </w:tblCellMar>
      </w:tblPr>
      <w:tblGrid>
        <w:gridCol w:w="846"/>
        <w:gridCol w:w="1394"/>
        <w:gridCol w:w="3214"/>
        <w:gridCol w:w="2124"/>
        <w:gridCol w:w="1524"/>
        <w:gridCol w:w="1536"/>
      </w:tblGrid>
      <w:tr w14:paraId="57823012">
        <w:tblPrEx>
          <w:tblCellMar>
            <w:top w:w="0" w:type="dxa"/>
            <w:left w:w="108" w:type="dxa"/>
            <w:bottom w:w="0" w:type="dxa"/>
            <w:right w:w="108" w:type="dxa"/>
          </w:tblCellMar>
        </w:tblPrEx>
        <w:trPr>
          <w:trHeight w:val="600" w:hRule="atLeast"/>
        </w:trPr>
        <w:tc>
          <w:tcPr>
            <w:tcW w:w="846" w:type="dxa"/>
            <w:tcBorders>
              <w:top w:val="single" w:color="auto" w:sz="4" w:space="0"/>
              <w:left w:val="single" w:color="auto" w:sz="4" w:space="0"/>
              <w:bottom w:val="single" w:color="auto" w:sz="4" w:space="0"/>
              <w:right w:val="single" w:color="auto" w:sz="4" w:space="0"/>
            </w:tcBorders>
            <w:vAlign w:val="center"/>
          </w:tcPr>
          <w:p w14:paraId="7D381058">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序号</w:t>
            </w:r>
          </w:p>
        </w:tc>
        <w:tc>
          <w:tcPr>
            <w:tcW w:w="1394" w:type="dxa"/>
            <w:tcBorders>
              <w:top w:val="single" w:color="auto" w:sz="4" w:space="0"/>
              <w:left w:val="nil"/>
              <w:bottom w:val="single" w:color="auto" w:sz="4" w:space="0"/>
              <w:right w:val="single" w:color="auto" w:sz="4" w:space="0"/>
            </w:tcBorders>
            <w:vAlign w:val="center"/>
          </w:tcPr>
          <w:p w14:paraId="63CDFA35">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姓名</w:t>
            </w:r>
          </w:p>
        </w:tc>
        <w:tc>
          <w:tcPr>
            <w:tcW w:w="3214" w:type="dxa"/>
            <w:tcBorders>
              <w:top w:val="single" w:color="auto" w:sz="4" w:space="0"/>
              <w:left w:val="nil"/>
              <w:bottom w:val="single" w:color="auto" w:sz="4" w:space="0"/>
              <w:right w:val="single" w:color="auto" w:sz="4" w:space="0"/>
            </w:tcBorders>
            <w:vAlign w:val="center"/>
          </w:tcPr>
          <w:p w14:paraId="6E772D87">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工作单位</w:t>
            </w:r>
          </w:p>
        </w:tc>
        <w:tc>
          <w:tcPr>
            <w:tcW w:w="2124" w:type="dxa"/>
            <w:tcBorders>
              <w:top w:val="single" w:color="auto" w:sz="4" w:space="0"/>
              <w:left w:val="nil"/>
              <w:bottom w:val="single" w:color="auto" w:sz="4" w:space="0"/>
              <w:right w:val="single" w:color="auto" w:sz="4" w:space="0"/>
            </w:tcBorders>
            <w:vAlign w:val="center"/>
          </w:tcPr>
          <w:p w14:paraId="76ED39FF">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lang w:eastAsia="zh-CN"/>
              </w:rPr>
              <w:t>申报</w:t>
            </w:r>
            <w:r>
              <w:rPr>
                <w:rFonts w:hint="eastAsia" w:ascii="黑体" w:hAnsi="黑体" w:eastAsia="黑体" w:cs="黑体"/>
                <w:b w:val="0"/>
                <w:bCs w:val="0"/>
                <w:kern w:val="0"/>
                <w:sz w:val="30"/>
                <w:szCs w:val="30"/>
              </w:rPr>
              <w:t>资格</w:t>
            </w:r>
          </w:p>
        </w:tc>
        <w:tc>
          <w:tcPr>
            <w:tcW w:w="1524" w:type="dxa"/>
            <w:tcBorders>
              <w:top w:val="single" w:color="auto" w:sz="4" w:space="0"/>
              <w:left w:val="nil"/>
              <w:bottom w:val="single" w:color="auto" w:sz="4" w:space="0"/>
              <w:right w:val="single" w:color="auto" w:sz="4" w:space="0"/>
            </w:tcBorders>
            <w:vAlign w:val="center"/>
          </w:tcPr>
          <w:p w14:paraId="3A6624F6">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申报专业</w:t>
            </w:r>
          </w:p>
        </w:tc>
        <w:tc>
          <w:tcPr>
            <w:tcW w:w="1536" w:type="dxa"/>
            <w:tcBorders>
              <w:top w:val="single" w:color="auto" w:sz="4" w:space="0"/>
              <w:left w:val="nil"/>
              <w:bottom w:val="single" w:color="auto" w:sz="4" w:space="0"/>
              <w:right w:val="single" w:color="auto" w:sz="4" w:space="0"/>
            </w:tcBorders>
            <w:vAlign w:val="center"/>
          </w:tcPr>
          <w:p w14:paraId="4E1B6459">
            <w:pPr>
              <w:widowControl/>
              <w:jc w:val="center"/>
              <w:rPr>
                <w:rFonts w:hint="eastAsia" w:ascii="黑体" w:hAnsi="黑体" w:eastAsia="黑体" w:cs="黑体"/>
                <w:b w:val="0"/>
                <w:bCs w:val="0"/>
                <w:kern w:val="0"/>
                <w:sz w:val="30"/>
                <w:szCs w:val="30"/>
                <w:lang w:eastAsia="zh-CN"/>
              </w:rPr>
            </w:pPr>
            <w:r>
              <w:rPr>
                <w:rFonts w:hint="eastAsia" w:ascii="黑体" w:hAnsi="黑体" w:eastAsia="黑体" w:cs="黑体"/>
                <w:b w:val="0"/>
                <w:bCs w:val="0"/>
                <w:kern w:val="0"/>
                <w:sz w:val="30"/>
                <w:szCs w:val="30"/>
                <w:lang w:eastAsia="zh-CN"/>
              </w:rPr>
              <w:t>申报类型</w:t>
            </w:r>
          </w:p>
        </w:tc>
      </w:tr>
      <w:tr w14:paraId="30BC1402">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14:paraId="07A0E04D">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14:paraId="2243DF27">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14:paraId="2571BDBB">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14:paraId="24083B31">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14:paraId="45CCD6D1">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14:paraId="439CFBFD">
            <w:pPr>
              <w:widowControl/>
              <w:jc w:val="center"/>
              <w:rPr>
                <w:rFonts w:hint="eastAsia" w:ascii="仿宋" w:hAnsi="仿宋" w:eastAsia="仿宋" w:cs="仿宋"/>
                <w:kern w:val="0"/>
                <w:sz w:val="32"/>
                <w:szCs w:val="32"/>
              </w:rPr>
            </w:pPr>
          </w:p>
        </w:tc>
      </w:tr>
      <w:tr w14:paraId="226FE132">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14:paraId="350DEF3F">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14:paraId="4F7BF3CB">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14:paraId="51F8D0E9">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14:paraId="4C6FE12F">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14:paraId="25B749E6">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14:paraId="7EADE47E">
            <w:pPr>
              <w:widowControl/>
              <w:jc w:val="center"/>
              <w:rPr>
                <w:rFonts w:hint="eastAsia" w:ascii="仿宋" w:hAnsi="仿宋" w:eastAsia="仿宋" w:cs="仿宋"/>
                <w:kern w:val="0"/>
                <w:sz w:val="32"/>
                <w:szCs w:val="32"/>
              </w:rPr>
            </w:pPr>
          </w:p>
        </w:tc>
      </w:tr>
      <w:tr w14:paraId="61C560A6">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14:paraId="0889D184">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14:paraId="40A4C764">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14:paraId="70D0620A">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14:paraId="19719EF5">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14:paraId="73597CA0">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14:paraId="11B40CAC">
            <w:pPr>
              <w:widowControl/>
              <w:jc w:val="center"/>
              <w:rPr>
                <w:rFonts w:hint="eastAsia" w:ascii="仿宋" w:hAnsi="仿宋" w:eastAsia="仿宋" w:cs="仿宋"/>
                <w:kern w:val="0"/>
                <w:sz w:val="32"/>
                <w:szCs w:val="32"/>
              </w:rPr>
            </w:pPr>
          </w:p>
        </w:tc>
      </w:tr>
      <w:tr w14:paraId="70EC5668">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14:paraId="66CC5997">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14:paraId="0EC0FA54">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14:paraId="78EC4097">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14:paraId="3CB844D0">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14:paraId="699BBBCE">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14:paraId="5C88C07F">
            <w:pPr>
              <w:widowControl/>
              <w:jc w:val="center"/>
              <w:rPr>
                <w:rFonts w:hint="eastAsia" w:ascii="仿宋" w:hAnsi="仿宋" w:eastAsia="仿宋" w:cs="仿宋"/>
                <w:kern w:val="0"/>
                <w:sz w:val="32"/>
                <w:szCs w:val="32"/>
              </w:rPr>
            </w:pPr>
          </w:p>
        </w:tc>
      </w:tr>
      <w:tr w14:paraId="618E72B6">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14:paraId="5B9A6467">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14:paraId="44C0F38D">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14:paraId="175F3E13">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14:paraId="359D9FBB">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14:paraId="09016DDA">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14:paraId="10567627">
            <w:pPr>
              <w:widowControl/>
              <w:jc w:val="center"/>
              <w:rPr>
                <w:rFonts w:hint="eastAsia" w:ascii="仿宋" w:hAnsi="仿宋" w:eastAsia="仿宋" w:cs="仿宋"/>
                <w:kern w:val="0"/>
                <w:sz w:val="32"/>
                <w:szCs w:val="32"/>
              </w:rPr>
            </w:pPr>
          </w:p>
        </w:tc>
      </w:tr>
      <w:tr w14:paraId="46C4339E">
        <w:tblPrEx>
          <w:tblCellMar>
            <w:top w:w="0" w:type="dxa"/>
            <w:left w:w="108" w:type="dxa"/>
            <w:bottom w:w="0" w:type="dxa"/>
            <w:right w:w="108" w:type="dxa"/>
          </w:tblCellMar>
        </w:tblPrEx>
        <w:trPr>
          <w:trHeight w:val="600" w:hRule="atLeast"/>
        </w:trPr>
        <w:tc>
          <w:tcPr>
            <w:tcW w:w="846" w:type="dxa"/>
            <w:tcBorders>
              <w:top w:val="single" w:color="auto" w:sz="4" w:space="0"/>
              <w:left w:val="single" w:color="auto" w:sz="4" w:space="0"/>
              <w:bottom w:val="single" w:color="auto" w:sz="4" w:space="0"/>
              <w:right w:val="single" w:color="auto" w:sz="4" w:space="0"/>
            </w:tcBorders>
            <w:vAlign w:val="center"/>
          </w:tcPr>
          <w:p w14:paraId="08AF5F34">
            <w:pPr>
              <w:widowControl/>
              <w:jc w:val="center"/>
              <w:rPr>
                <w:rFonts w:hint="eastAsia" w:ascii="仿宋" w:hAnsi="仿宋" w:eastAsia="仿宋" w:cs="仿宋"/>
                <w:kern w:val="0"/>
                <w:sz w:val="32"/>
                <w:szCs w:val="32"/>
              </w:rPr>
            </w:pPr>
          </w:p>
        </w:tc>
        <w:tc>
          <w:tcPr>
            <w:tcW w:w="1394" w:type="dxa"/>
            <w:tcBorders>
              <w:top w:val="single" w:color="auto" w:sz="4" w:space="0"/>
              <w:left w:val="nil"/>
              <w:bottom w:val="single" w:color="auto" w:sz="4" w:space="0"/>
              <w:right w:val="single" w:color="auto" w:sz="4" w:space="0"/>
            </w:tcBorders>
            <w:vAlign w:val="center"/>
          </w:tcPr>
          <w:p w14:paraId="06AFD46B">
            <w:pPr>
              <w:widowControl/>
              <w:jc w:val="center"/>
              <w:rPr>
                <w:rFonts w:hint="eastAsia" w:ascii="仿宋" w:hAnsi="仿宋" w:eastAsia="仿宋" w:cs="仿宋"/>
                <w:kern w:val="0"/>
                <w:sz w:val="32"/>
                <w:szCs w:val="32"/>
              </w:rPr>
            </w:pPr>
          </w:p>
        </w:tc>
        <w:tc>
          <w:tcPr>
            <w:tcW w:w="3214" w:type="dxa"/>
            <w:tcBorders>
              <w:top w:val="single" w:color="auto" w:sz="4" w:space="0"/>
              <w:left w:val="nil"/>
              <w:bottom w:val="single" w:color="auto" w:sz="4" w:space="0"/>
              <w:right w:val="single" w:color="auto" w:sz="4" w:space="0"/>
            </w:tcBorders>
            <w:vAlign w:val="center"/>
          </w:tcPr>
          <w:p w14:paraId="363780E5">
            <w:pPr>
              <w:widowControl/>
              <w:jc w:val="center"/>
              <w:rPr>
                <w:rFonts w:hint="eastAsia" w:ascii="仿宋" w:hAnsi="仿宋" w:eastAsia="仿宋" w:cs="仿宋"/>
                <w:kern w:val="0"/>
                <w:sz w:val="32"/>
                <w:szCs w:val="32"/>
              </w:rPr>
            </w:pPr>
          </w:p>
        </w:tc>
        <w:tc>
          <w:tcPr>
            <w:tcW w:w="2124" w:type="dxa"/>
            <w:tcBorders>
              <w:top w:val="single" w:color="auto" w:sz="4" w:space="0"/>
              <w:left w:val="nil"/>
              <w:bottom w:val="single" w:color="auto" w:sz="4" w:space="0"/>
              <w:right w:val="single" w:color="auto" w:sz="4" w:space="0"/>
            </w:tcBorders>
            <w:vAlign w:val="center"/>
          </w:tcPr>
          <w:p w14:paraId="4D73C64C">
            <w:pPr>
              <w:widowControl/>
              <w:jc w:val="center"/>
              <w:rPr>
                <w:rFonts w:hint="eastAsia" w:ascii="仿宋" w:hAnsi="仿宋" w:eastAsia="仿宋" w:cs="仿宋"/>
                <w:kern w:val="0"/>
                <w:sz w:val="32"/>
                <w:szCs w:val="32"/>
              </w:rPr>
            </w:pPr>
          </w:p>
        </w:tc>
        <w:tc>
          <w:tcPr>
            <w:tcW w:w="1524" w:type="dxa"/>
            <w:tcBorders>
              <w:top w:val="single" w:color="auto" w:sz="4" w:space="0"/>
              <w:left w:val="nil"/>
              <w:bottom w:val="single" w:color="auto" w:sz="4" w:space="0"/>
              <w:right w:val="single" w:color="auto" w:sz="4" w:space="0"/>
            </w:tcBorders>
            <w:vAlign w:val="center"/>
          </w:tcPr>
          <w:p w14:paraId="294F54F7">
            <w:pPr>
              <w:widowControl/>
              <w:jc w:val="center"/>
              <w:rPr>
                <w:rFonts w:hint="eastAsia" w:ascii="仿宋" w:hAnsi="仿宋" w:eastAsia="仿宋" w:cs="仿宋"/>
                <w:kern w:val="0"/>
                <w:sz w:val="32"/>
                <w:szCs w:val="32"/>
              </w:rPr>
            </w:pPr>
          </w:p>
        </w:tc>
        <w:tc>
          <w:tcPr>
            <w:tcW w:w="1536" w:type="dxa"/>
            <w:tcBorders>
              <w:top w:val="single" w:color="auto" w:sz="4" w:space="0"/>
              <w:left w:val="nil"/>
              <w:bottom w:val="single" w:color="auto" w:sz="4" w:space="0"/>
              <w:right w:val="single" w:color="auto" w:sz="4" w:space="0"/>
            </w:tcBorders>
            <w:vAlign w:val="center"/>
          </w:tcPr>
          <w:p w14:paraId="1807BF81">
            <w:pPr>
              <w:widowControl/>
              <w:jc w:val="center"/>
              <w:rPr>
                <w:rFonts w:hint="eastAsia" w:ascii="仿宋" w:hAnsi="仿宋" w:eastAsia="仿宋" w:cs="仿宋"/>
                <w:kern w:val="0"/>
                <w:sz w:val="32"/>
                <w:szCs w:val="32"/>
              </w:rPr>
            </w:pPr>
          </w:p>
        </w:tc>
      </w:tr>
    </w:tbl>
    <w:p w14:paraId="017D2BBC">
      <w:pPr>
        <w:rPr>
          <w:rFonts w:eastAsia="仿宋_GB2312"/>
          <w:sz w:val="32"/>
          <w:szCs w:val="32"/>
        </w:rPr>
      </w:pPr>
    </w:p>
    <w:p w14:paraId="6A46E685">
      <w:pPr>
        <w:rPr>
          <w:rFonts w:ascii="Times New Roman" w:hAnsi="Times New Roman" w:eastAsia="仿宋_GB2312" w:cs="Times New Roman"/>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84E"/>
    <w:rsid w:val="002D5B6B"/>
    <w:rsid w:val="007B784E"/>
    <w:rsid w:val="00E15C2C"/>
    <w:rsid w:val="00E37822"/>
    <w:rsid w:val="039D249F"/>
    <w:rsid w:val="03C43617"/>
    <w:rsid w:val="07A935A2"/>
    <w:rsid w:val="2959283A"/>
    <w:rsid w:val="2E555E40"/>
    <w:rsid w:val="2E897137"/>
    <w:rsid w:val="33C636BB"/>
    <w:rsid w:val="47861E14"/>
    <w:rsid w:val="50A06350"/>
    <w:rsid w:val="56870882"/>
    <w:rsid w:val="6ED95F92"/>
    <w:rsid w:val="6F2060FA"/>
    <w:rsid w:val="78087129"/>
    <w:rsid w:val="7D085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364</Words>
  <Characters>382</Characters>
  <Lines>3</Lines>
  <Paragraphs>1</Paragraphs>
  <TotalTime>4</TotalTime>
  <ScaleCrop>false</ScaleCrop>
  <LinksUpToDate>false</LinksUpToDate>
  <CharactersWithSpaces>419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2022-06-23T01:07:00Z</dcterms:created>
  <dc:creator>slxh</dc:creator>
  <cp:lastModifiedBy>木木夕</cp:lastModifiedBy>
  <cp:lastPrinted>2022-06-24T07:50:00Z</cp:lastPrinted>
  <dcterms:modified xsi:type="dcterms:W3CDTF">2026-06-17T01:51:13Z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4D91013160994F9FADEEB1278922A337</vt:lpwstr>
  </property>
  <property fmtid="{D5CDD505-2E9C-101B-9397-08002B2CF9AE}" pid="4" name="KSOTemplateDocerSaveRecord">
    <vt:lpwstr>eyJoZGlkIjoiMGYyN2E3ZDI0MWUxZDYxY2NlMTM0YzU3ZjMyNTU2YzAiLCJ1c2VySWQiOiI4MDc2NjQ0MDEifQ==</vt:lpwstr>
  </property>
</Properties>
</file>