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_GB2312" w:hAnsi="仿宋_GB2312" w:eastAsia="仿宋_GB2312" w:cs="仿宋_GB2312"/>
          <w:b w:val="0"/>
          <w:bCs/>
          <w:spacing w:val="-16"/>
          <w:sz w:val="32"/>
          <w:szCs w:val="32"/>
          <w:lang w:val="en-US" w:eastAsia="zh-CN"/>
        </w:rPr>
      </w:pPr>
      <w:r>
        <w:rPr>
          <w:rFonts w:hint="eastAsia" w:ascii="仿宋_GB2312" w:hAnsi="仿宋_GB2312" w:cs="仿宋_GB2312"/>
          <w:b w:val="0"/>
          <w:bCs/>
          <w:spacing w:val="-16"/>
          <w:sz w:val="32"/>
          <w:szCs w:val="32"/>
          <w:lang w:eastAsia="zh-CN"/>
        </w:rPr>
        <w:t>附件</w:t>
      </w:r>
      <w:r>
        <w:rPr>
          <w:rFonts w:hint="eastAsia" w:ascii="仿宋_GB2312" w:hAnsi="仿宋_GB2312" w:cs="仿宋_GB2312"/>
          <w:b w:val="0"/>
          <w:bCs/>
          <w:spacing w:val="-16"/>
          <w:sz w:val="32"/>
          <w:szCs w:val="32"/>
          <w:lang w:val="en-US" w:eastAsia="zh-CN"/>
        </w:rPr>
        <w:t>2</w:t>
      </w:r>
    </w:p>
    <w:p>
      <w:pPr>
        <w:jc w:val="center"/>
        <w:rPr>
          <w:rFonts w:hint="eastAsia" w:ascii="方正小标宋简体" w:hAnsi="方正小标宋简体" w:eastAsia="方正小标宋简体" w:cs="方正小标宋简体"/>
          <w:b w:val="0"/>
          <w:bCs/>
          <w:spacing w:val="-16"/>
          <w:sz w:val="44"/>
          <w:szCs w:val="44"/>
          <w:lang w:eastAsia="zh-CN"/>
        </w:rPr>
      </w:pPr>
      <w:r>
        <w:rPr>
          <w:rFonts w:hint="eastAsia" w:ascii="方正小标宋简体" w:hAnsi="方正小标宋简体" w:eastAsia="方正小标宋简体" w:cs="方正小标宋简体"/>
          <w:b w:val="0"/>
          <w:bCs/>
          <w:spacing w:val="-16"/>
          <w:sz w:val="44"/>
          <w:szCs w:val="44"/>
        </w:rPr>
        <w:t>钢筋产品质量监督</w:t>
      </w:r>
      <w:r>
        <w:rPr>
          <w:rFonts w:hint="eastAsia" w:ascii="方正小标宋简体" w:hAnsi="方正小标宋简体" w:eastAsia="方正小标宋简体" w:cs="方正小标宋简体"/>
          <w:b w:val="0"/>
          <w:bCs/>
          <w:spacing w:val="-16"/>
          <w:sz w:val="44"/>
          <w:szCs w:val="44"/>
          <w:lang w:eastAsia="zh-CN"/>
        </w:rPr>
        <w:t>抽查实施</w:t>
      </w:r>
      <w:r>
        <w:rPr>
          <w:rFonts w:hint="eastAsia" w:ascii="方正小标宋简体" w:hAnsi="方正小标宋简体" w:eastAsia="方正小标宋简体" w:cs="方正小标宋简体"/>
          <w:b w:val="0"/>
          <w:bCs/>
          <w:spacing w:val="-16"/>
          <w:sz w:val="44"/>
          <w:szCs w:val="44"/>
        </w:rPr>
        <w:t>细则</w:t>
      </w:r>
      <w:r>
        <w:rPr>
          <w:rFonts w:hint="eastAsia" w:ascii="方正小标宋简体" w:hAnsi="方正小标宋简体" w:eastAsia="方正小标宋简体" w:cs="方正小标宋简体"/>
          <w:b w:val="0"/>
          <w:bCs/>
          <w:spacing w:val="-16"/>
          <w:sz w:val="44"/>
          <w:szCs w:val="44"/>
          <w:lang w:eastAsia="zh-CN"/>
        </w:rPr>
        <w:t>（</w:t>
      </w:r>
      <w:r>
        <w:rPr>
          <w:rFonts w:hint="eastAsia" w:ascii="方正小标宋简体" w:hAnsi="方正小标宋简体" w:eastAsia="方正小标宋简体" w:cs="方正小标宋简体"/>
          <w:b w:val="0"/>
          <w:bCs/>
          <w:spacing w:val="-16"/>
          <w:sz w:val="44"/>
          <w:szCs w:val="44"/>
          <w:lang w:val="en-US" w:eastAsia="zh-CN"/>
        </w:rPr>
        <w:t>2026版</w:t>
      </w:r>
      <w:r>
        <w:rPr>
          <w:rFonts w:hint="eastAsia" w:ascii="方正小标宋简体" w:hAnsi="方正小标宋简体" w:eastAsia="方正小标宋简体" w:cs="方正小标宋简体"/>
          <w:b w:val="0"/>
          <w:bCs/>
          <w:spacing w:val="-16"/>
          <w:sz w:val="44"/>
          <w:szCs w:val="44"/>
          <w:lang w:eastAsia="zh-CN"/>
        </w:rPr>
        <w:t>）</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一、抽样方法</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以随机抽样的方式在被</w:t>
      </w:r>
      <w:r>
        <w:rPr>
          <w:rFonts w:hint="eastAsia" w:ascii="方正仿宋_GB2312" w:hAnsi="方正仿宋_GB2312" w:eastAsia="方正仿宋_GB2312" w:cs="方正仿宋_GB2312"/>
          <w:sz w:val="32"/>
          <w:szCs w:val="32"/>
          <w:lang w:eastAsia="zh-CN"/>
        </w:rPr>
        <w:t>抽查市场主体</w:t>
      </w:r>
      <w:r>
        <w:rPr>
          <w:rFonts w:hint="eastAsia" w:ascii="方正仿宋_GB2312" w:hAnsi="方正仿宋_GB2312" w:eastAsia="方正仿宋_GB2312" w:cs="方正仿宋_GB2312"/>
          <w:sz w:val="32"/>
          <w:szCs w:val="32"/>
        </w:rPr>
        <w:t>的待销产品中抽取</w:t>
      </w:r>
      <w:r>
        <w:rPr>
          <w:rFonts w:hint="eastAsia" w:ascii="方正仿宋_GB2312" w:hAnsi="方正仿宋_GB2312" w:eastAsia="方正仿宋_GB2312" w:cs="方正仿宋_GB2312"/>
          <w:sz w:val="32"/>
          <w:szCs w:val="32"/>
          <w:lang w:eastAsia="zh-CN"/>
        </w:rPr>
        <w:t>样品</w:t>
      </w:r>
      <w:r>
        <w:rPr>
          <w:rFonts w:hint="eastAsia" w:ascii="方正仿宋_GB2312" w:hAnsi="方正仿宋_GB2312" w:eastAsia="方正仿宋_GB2312" w:cs="方正仿宋_GB2312"/>
          <w:sz w:val="32"/>
          <w:szCs w:val="32"/>
        </w:rPr>
        <w:t>。</w:t>
      </w:r>
      <w:bookmarkStart w:id="0" w:name="_GoBack"/>
      <w:bookmarkEnd w:id="0"/>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随机数一般可使用随机数表等方法产生。</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每款产品抽取2组样本，第1组用于检验，第2组用于备样</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备用样品封存于承检单位。具体抽样数量</w:t>
      </w:r>
      <w:r>
        <w:rPr>
          <w:rFonts w:hint="eastAsia" w:ascii="方正仿宋_GB2312" w:hAnsi="方正仿宋_GB2312" w:eastAsia="方正仿宋_GB2312" w:cs="方正仿宋_GB2312"/>
          <w:sz w:val="32"/>
          <w:szCs w:val="32"/>
          <w:lang w:eastAsia="zh-CN"/>
        </w:rPr>
        <w:t>和方</w:t>
      </w:r>
      <w:r>
        <w:rPr>
          <w:rFonts w:hint="eastAsia" w:ascii="方正仿宋_GB2312" w:hAnsi="方正仿宋_GB2312" w:eastAsia="方正仿宋_GB2312" w:cs="方正仿宋_GB2312"/>
          <w:color w:val="000000"/>
          <w:sz w:val="32"/>
          <w:szCs w:val="32"/>
          <w:lang w:eastAsia="zh-CN"/>
        </w:rPr>
        <w:t>法如下</w:t>
      </w:r>
      <w:r>
        <w:rPr>
          <w:rFonts w:hint="eastAsia" w:ascii="方正仿宋_GB2312" w:hAnsi="方正仿宋_GB2312" w:eastAsia="方正仿宋_GB2312" w:cs="方正仿宋_GB2312"/>
          <w:color w:val="000000"/>
          <w:sz w:val="32"/>
          <w:szCs w:val="32"/>
          <w:lang w:val="en-US" w:eastAsia="zh-CN"/>
        </w:rPr>
        <w:t>。</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val="0"/>
          <w:bCs w:val="0"/>
          <w:sz w:val="32"/>
          <w:szCs w:val="32"/>
          <w:lang w:val="en-US" w:eastAsia="zh-CN"/>
        </w:rPr>
        <w:t>1、</w:t>
      </w:r>
      <w:r>
        <w:rPr>
          <w:rFonts w:hint="eastAsia" w:ascii="方正仿宋_GB2312" w:hAnsi="方正仿宋_GB2312" w:eastAsia="方正仿宋_GB2312" w:cs="方正仿宋_GB2312"/>
          <w:b w:val="0"/>
          <w:bCs w:val="0"/>
          <w:sz w:val="32"/>
          <w:szCs w:val="32"/>
        </w:rPr>
        <w:t>对于直条型式的钢筋，抽样方法如下：</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优先抽取产品标准中较高强度等级的牌号的产品；</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将确定的牌号产品按所有规格逐一编号，做到不重不漏，用上述随机数产生方法抽取其中的某一规格；</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将确定的某规格产品按堆放的垛数逐一编号，做到不重不漏，用上述随机数产生方法抽取其中的某一垛；</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将该垛的表层产品按捆数逐一编号，做到不重不漏，用上述随机数产生方法抽取其中的某一捆产品；</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若该捆同批号产品不满足抽样基数，则重复以上（1）～（4）条进行抽样，直到某一捆同批号产品满足抽样基数为止；</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在该捆中随机抽取5根长度为原长的钢筋，逐根顺序编号为1～5，再从每根钢筋切割出2支长度为1200mm的样品,2支样品逐支编号标记，应一一对应（如1-a，1-b），每支样品要保证有完整的表面标志，标记a的5支样品为检验样品，标记b的5支样品为备用样品。</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lang w:val="en-US" w:eastAsia="zh-CN"/>
        </w:rPr>
        <w:t>2、</w:t>
      </w:r>
      <w:r>
        <w:rPr>
          <w:rFonts w:hint="eastAsia" w:ascii="方正仿宋_GB2312" w:hAnsi="方正仿宋_GB2312" w:eastAsia="方正仿宋_GB2312" w:cs="方正仿宋_GB2312"/>
          <w:b w:val="0"/>
          <w:bCs w:val="0"/>
          <w:sz w:val="32"/>
          <w:szCs w:val="32"/>
        </w:rPr>
        <w:t>对于盘卷型式的钢筋，抽样方法如下：</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（1）对于热轧带肋钢筋产品，按</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中的优先原则确定所抽产品的牌号</w:t>
      </w:r>
      <w:r>
        <w:rPr>
          <w:rFonts w:hint="eastAsia" w:ascii="方正仿宋_GB2312" w:hAnsi="方正仿宋_GB2312" w:eastAsia="方正仿宋_GB2312" w:cs="方正仿宋_GB2312"/>
          <w:sz w:val="32"/>
          <w:szCs w:val="32"/>
        </w:rPr>
        <w:t>；对于热轧光圆钢筋产品，将所有牌号进行编号，做到不重不漏，用上述随机数产生方法抽取其中的某一牌号；</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（2）将确定的牌号产品按所有规格逐一编号，做到不重不漏，用上述随机数产生方法抽取其中的某一规格；</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（3）将确定的某规格产品按堆放的垛数逐一编号，做到不重不漏，用上述随机数产生方法抽取其中的某一垛；</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（4）将该垛的表层产品按盘数逐一编号，做到不重不漏，用上述随机数产生方法抽取其中的某5盘同一批号的产品；</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（5）若该层中同批号产品不满足抽样基数，则重复以上（1）～（4）条进行抽样，直到某盘同批号产品满足抽样基数为止；</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在每盘钢筋上距头或尾至少2000mm处，随机截取1根长度为2400mm的钢筋，逐根顺序编号为1～5，再把每根钢筋分成出2支长度为1200mm的样品,2支样品逐支编号标记，应一一对应（如1-a，1-b），标记a的5支样品为检验样品，标记b的5支样品为备用样品。</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在企业成品库抽样时，抽样基数满足抽样数量即可。</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注意事项：抽取样品的同时需与每组样品一起封存吊牌标志。</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二、</w:t>
      </w:r>
      <w:r>
        <w:rPr>
          <w:rFonts w:hint="eastAsia" w:ascii="方正仿宋_GB2312" w:hAnsi="方正仿宋_GB2312" w:eastAsia="方正仿宋_GB2312" w:cs="方正仿宋_GB2312"/>
          <w:sz w:val="32"/>
          <w:szCs w:val="32"/>
        </w:rPr>
        <w:t>主要检验项目及检验项目属性划分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20" w:firstLineChars="100"/>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1.热轧带肋钢筋</w:t>
      </w:r>
    </w:p>
    <w:tbl>
      <w:tblPr>
        <w:tblStyle w:val="7"/>
        <w:tblpPr w:leftFromText="180" w:rightFromText="180" w:vertAnchor="text" w:horzAnchor="page" w:tblpX="1776" w:tblpY="177"/>
        <w:tblOverlap w:val="never"/>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2164"/>
        <w:gridCol w:w="2164"/>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trPr>
        <w:tc>
          <w:tcPr>
            <w:tcW w:w="10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序号</w:t>
            </w:r>
          </w:p>
        </w:tc>
        <w:tc>
          <w:tcPr>
            <w:tcW w:w="432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bidi w:val="0"/>
              <w:snapToGrid w:val="0"/>
              <w:spacing w:line="240" w:lineRule="auto"/>
              <w:ind w:firstLine="1400" w:firstLineChars="500"/>
              <w:jc w:val="both"/>
              <w:outlineLvl w:val="9"/>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检验项目</w:t>
            </w:r>
          </w:p>
        </w:tc>
        <w:tc>
          <w:tcPr>
            <w:tcW w:w="324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bidi w:val="0"/>
              <w:snapToGrid w:val="0"/>
              <w:spacing w:line="240" w:lineRule="auto"/>
              <w:ind w:firstLine="840" w:firstLineChars="300"/>
              <w:jc w:val="both"/>
              <w:outlineLvl w:val="9"/>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4328" w:type="dxa"/>
            <w:gridSpan w:val="2"/>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bCs/>
                <w:sz w:val="28"/>
                <w:szCs w:val="28"/>
                <w:lang w:eastAsia="zh-CN"/>
              </w:rPr>
              <w:t>下</w:t>
            </w:r>
            <w:r>
              <w:rPr>
                <w:rFonts w:hint="eastAsia" w:ascii="方正仿宋_GB2312" w:hAnsi="方正仿宋_GB2312" w:eastAsia="方正仿宋_GB2312" w:cs="方正仿宋_GB2312"/>
                <w:bCs/>
                <w:sz w:val="28"/>
                <w:szCs w:val="28"/>
              </w:rPr>
              <w:t>屈服强度</w:t>
            </w:r>
          </w:p>
        </w:tc>
        <w:tc>
          <w:tcPr>
            <w:tcW w:w="32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1499.2—20</w:t>
            </w:r>
            <w:r>
              <w:rPr>
                <w:rFonts w:hint="eastAsia" w:ascii="Times New Roman" w:hAnsi="Times New Roman" w:eastAsia="仿宋_GB2312" w:cs="仿宋_GB2312"/>
                <w:color w:val="000000"/>
                <w:sz w:val="28"/>
                <w:szCs w:val="28"/>
                <w:lang w:val="en-US" w:eastAsia="zh-CN"/>
              </w:rPr>
              <w:t>24</w:t>
            </w:r>
          </w:p>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lang w:eastAsia="zh-CN"/>
              </w:rPr>
            </w:pPr>
            <w:r>
              <w:rPr>
                <w:rFonts w:hint="eastAsia" w:ascii="Times New Roman" w:hAnsi="Times New Roman" w:eastAsia="仿宋_GB2312" w:cs="仿宋_GB2312"/>
                <w:color w:val="000000"/>
                <w:sz w:val="28"/>
                <w:szCs w:val="28"/>
              </w:rPr>
              <w:t>GB/T 28900—2022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p>
        </w:tc>
        <w:tc>
          <w:tcPr>
            <w:tcW w:w="4328" w:type="dxa"/>
            <w:gridSpan w:val="2"/>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bCs/>
                <w:sz w:val="28"/>
                <w:szCs w:val="28"/>
              </w:rPr>
              <w:t>抗拉强度</w:t>
            </w:r>
          </w:p>
        </w:tc>
        <w:tc>
          <w:tcPr>
            <w:tcW w:w="3244" w:type="dxa"/>
            <w:vMerge w:val="continue"/>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p>
        </w:tc>
        <w:tc>
          <w:tcPr>
            <w:tcW w:w="4328" w:type="dxa"/>
            <w:gridSpan w:val="2"/>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bCs/>
                <w:sz w:val="28"/>
                <w:szCs w:val="28"/>
              </w:rPr>
              <w:t>断后伸长率</w:t>
            </w:r>
          </w:p>
        </w:tc>
        <w:tc>
          <w:tcPr>
            <w:tcW w:w="3244" w:type="dxa"/>
            <w:vMerge w:val="continue"/>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p>
        </w:tc>
        <w:tc>
          <w:tcPr>
            <w:tcW w:w="4328" w:type="dxa"/>
            <w:gridSpan w:val="2"/>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kern w:val="2"/>
                <w:sz w:val="28"/>
                <w:szCs w:val="28"/>
                <w:lang w:val="en-US" w:eastAsia="zh-CN" w:bidi="ar-SA"/>
              </w:rPr>
            </w:pPr>
            <w:r>
              <w:rPr>
                <w:rFonts w:hint="eastAsia" w:ascii="方正仿宋_GB2312" w:hAnsi="方正仿宋_GB2312" w:eastAsia="方正仿宋_GB2312" w:cs="方正仿宋_GB2312"/>
                <w:bCs/>
                <w:sz w:val="28"/>
                <w:szCs w:val="28"/>
                <w:lang w:eastAsia="zh-CN"/>
              </w:rPr>
              <w:t>最大力总延伸率</w:t>
            </w:r>
          </w:p>
        </w:tc>
        <w:tc>
          <w:tcPr>
            <w:tcW w:w="3244" w:type="dxa"/>
            <w:vMerge w:val="continue"/>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shd w:val="clear" w:color="auto" w:fill="auto"/>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rPr>
              <w:t>5</w:t>
            </w:r>
          </w:p>
        </w:tc>
        <w:tc>
          <w:tcPr>
            <w:tcW w:w="4328"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kern w:val="2"/>
                <w:sz w:val="28"/>
                <w:szCs w:val="28"/>
                <w:lang w:val="en-US" w:eastAsia="zh-CN" w:bidi="ar-SA"/>
              </w:rPr>
            </w:pPr>
            <w:r>
              <w:rPr>
                <w:rFonts w:hint="eastAsia" w:ascii="Times New Roman" w:hAnsi="Times New Roman" w:eastAsia="仿宋_GB2312" w:cs="仿宋_GB2312"/>
                <w:color w:val="000000"/>
                <w:sz w:val="28"/>
                <w:szCs w:val="28"/>
              </w:rPr>
              <w:t>实测抗拉强度与实测屈服强度之比</w:t>
            </w:r>
          </w:p>
        </w:tc>
        <w:tc>
          <w:tcPr>
            <w:tcW w:w="32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shd w:val="clear" w:color="auto" w:fill="auto"/>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lang w:val="en-US" w:eastAsia="zh-CN"/>
              </w:rPr>
              <w:t>6</w:t>
            </w:r>
          </w:p>
        </w:tc>
        <w:tc>
          <w:tcPr>
            <w:tcW w:w="4328"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kern w:val="2"/>
                <w:sz w:val="28"/>
                <w:szCs w:val="28"/>
                <w:lang w:val="en-US" w:eastAsia="zh-CN" w:bidi="ar-SA"/>
              </w:rPr>
            </w:pPr>
            <w:r>
              <w:rPr>
                <w:rFonts w:hint="eastAsia" w:ascii="Times New Roman" w:hAnsi="Times New Roman" w:eastAsia="仿宋_GB2312" w:cs="仿宋_GB2312"/>
                <w:color w:val="000000"/>
                <w:sz w:val="28"/>
                <w:szCs w:val="28"/>
              </w:rPr>
              <w:t>实测屈服强度与屈服强度特征值之比</w:t>
            </w:r>
          </w:p>
        </w:tc>
        <w:tc>
          <w:tcPr>
            <w:tcW w:w="32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shd w:val="clear" w:color="auto" w:fill="auto"/>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lang w:val="en-US" w:eastAsia="zh-CN"/>
              </w:rPr>
              <w:t>7</w:t>
            </w:r>
          </w:p>
        </w:tc>
        <w:tc>
          <w:tcPr>
            <w:tcW w:w="4328" w:type="dxa"/>
            <w:gridSpan w:val="2"/>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kern w:val="2"/>
                <w:sz w:val="28"/>
                <w:szCs w:val="28"/>
                <w:lang w:val="en-US" w:eastAsia="zh-CN" w:bidi="ar-SA"/>
              </w:rPr>
            </w:pPr>
            <w:r>
              <w:rPr>
                <w:rFonts w:hint="eastAsia" w:ascii="方正仿宋_GB2312" w:hAnsi="方正仿宋_GB2312" w:eastAsia="方正仿宋_GB2312" w:cs="方正仿宋_GB2312"/>
                <w:bCs/>
                <w:sz w:val="28"/>
                <w:szCs w:val="28"/>
              </w:rPr>
              <w:t>弯曲</w:t>
            </w:r>
            <w:r>
              <w:rPr>
                <w:rFonts w:hint="eastAsia" w:ascii="方正仿宋_GB2312" w:hAnsi="方正仿宋_GB2312" w:eastAsia="方正仿宋_GB2312" w:cs="方正仿宋_GB2312"/>
                <w:bCs/>
                <w:sz w:val="28"/>
                <w:szCs w:val="28"/>
                <w:lang w:eastAsia="zh-CN"/>
              </w:rPr>
              <w:t>性能</w:t>
            </w:r>
          </w:p>
        </w:tc>
        <w:tc>
          <w:tcPr>
            <w:tcW w:w="3244" w:type="dxa"/>
            <w:vMerge w:val="continue"/>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shd w:val="clear" w:color="auto" w:fill="auto"/>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lang w:val="en-US" w:eastAsia="zh-CN"/>
              </w:rPr>
              <w:t>8</w:t>
            </w:r>
          </w:p>
        </w:tc>
        <w:tc>
          <w:tcPr>
            <w:tcW w:w="4328" w:type="dxa"/>
            <w:gridSpan w:val="2"/>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kern w:val="2"/>
                <w:sz w:val="28"/>
                <w:szCs w:val="28"/>
                <w:lang w:val="en-US" w:eastAsia="zh-CN" w:bidi="ar-SA"/>
              </w:rPr>
            </w:pPr>
            <w:r>
              <w:rPr>
                <w:rFonts w:hint="eastAsia" w:ascii="方正仿宋_GB2312" w:hAnsi="方正仿宋_GB2312" w:eastAsia="方正仿宋_GB2312" w:cs="方正仿宋_GB2312"/>
                <w:bCs/>
                <w:sz w:val="28"/>
                <w:szCs w:val="28"/>
                <w:lang w:eastAsia="zh-CN"/>
              </w:rPr>
              <w:t>反向弯曲性能</w:t>
            </w:r>
          </w:p>
        </w:tc>
        <w:tc>
          <w:tcPr>
            <w:tcW w:w="3244" w:type="dxa"/>
            <w:vMerge w:val="continue"/>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shd w:val="clear" w:color="auto" w:fill="auto"/>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lang w:val="en-US" w:eastAsia="zh-CN"/>
              </w:rPr>
              <w:t>9</w:t>
            </w:r>
          </w:p>
        </w:tc>
        <w:tc>
          <w:tcPr>
            <w:tcW w:w="4328" w:type="dxa"/>
            <w:gridSpan w:val="2"/>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bCs/>
                <w:sz w:val="28"/>
                <w:szCs w:val="28"/>
              </w:rPr>
              <w:t>重量偏差</w:t>
            </w:r>
          </w:p>
        </w:tc>
        <w:tc>
          <w:tcPr>
            <w:tcW w:w="3244"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rPr>
            </w:pPr>
            <w:r>
              <w:rPr>
                <w:rFonts w:hint="eastAsia" w:ascii="Times New Roman" w:hAnsi="Times New Roman" w:eastAsia="仿宋_GB2312" w:cs="仿宋_GB2312"/>
                <w:color w:val="000000"/>
                <w:sz w:val="28"/>
                <w:szCs w:val="28"/>
              </w:rPr>
              <w:t>GB 1499.2—20</w:t>
            </w:r>
            <w:r>
              <w:rPr>
                <w:rFonts w:hint="eastAsia" w:ascii="Times New Roman" w:hAnsi="Times New Roman" w:eastAsia="仿宋_GB2312" w:cs="仿宋_GB2312"/>
                <w:color w:val="000000"/>
                <w:sz w:val="28"/>
                <w:szCs w:val="28"/>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shd w:val="clear" w:color="auto" w:fill="auto"/>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lang w:val="en-US" w:eastAsia="zh-CN"/>
              </w:rPr>
              <w:t>10</w:t>
            </w:r>
          </w:p>
        </w:tc>
        <w:tc>
          <w:tcPr>
            <w:tcW w:w="4328" w:type="dxa"/>
            <w:gridSpan w:val="2"/>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bCs/>
                <w:sz w:val="28"/>
                <w:szCs w:val="28"/>
              </w:rPr>
              <w:t>表面质量</w:t>
            </w:r>
          </w:p>
        </w:tc>
        <w:tc>
          <w:tcPr>
            <w:tcW w:w="3244"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rPr>
            </w:pPr>
            <w:r>
              <w:rPr>
                <w:rFonts w:hint="eastAsia" w:ascii="Times New Roman" w:hAnsi="Times New Roman" w:eastAsia="仿宋_GB2312" w:cs="仿宋_GB2312"/>
                <w:color w:val="000000"/>
                <w:sz w:val="28"/>
                <w:szCs w:val="28"/>
              </w:rPr>
              <w:t>GB 1499.2—20</w:t>
            </w:r>
            <w:r>
              <w:rPr>
                <w:rFonts w:hint="eastAsia" w:ascii="Times New Roman" w:hAnsi="Times New Roman" w:eastAsia="仿宋_GB2312" w:cs="仿宋_GB2312"/>
                <w:color w:val="000000"/>
                <w:sz w:val="28"/>
                <w:szCs w:val="28"/>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016" w:type="dxa"/>
            <w:vMerge w:val="restart"/>
            <w:shd w:val="clear" w:color="auto" w:fill="auto"/>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11</w:t>
            </w:r>
          </w:p>
        </w:tc>
        <w:tc>
          <w:tcPr>
            <w:tcW w:w="2164" w:type="dxa"/>
            <w:vMerge w:val="restart"/>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化学</w:t>
            </w:r>
          </w:p>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成分</w:t>
            </w:r>
          </w:p>
        </w:tc>
        <w:tc>
          <w:tcPr>
            <w:tcW w:w="216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kern w:val="2"/>
                <w:sz w:val="28"/>
                <w:szCs w:val="28"/>
                <w:lang w:val="en-US" w:eastAsia="zh-CN" w:bidi="ar-SA"/>
              </w:rPr>
            </w:pPr>
            <w:r>
              <w:rPr>
                <w:rFonts w:hint="eastAsia" w:ascii="Times New Roman" w:hAnsi="Times New Roman" w:eastAsia="仿宋_GB2312" w:cs="仿宋_GB2312"/>
                <w:color w:val="000000"/>
                <w:sz w:val="28"/>
                <w:szCs w:val="28"/>
              </w:rPr>
              <w:t>C</w:t>
            </w:r>
          </w:p>
        </w:tc>
        <w:tc>
          <w:tcPr>
            <w:tcW w:w="32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223.5—2008</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223.11—2008</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GB/T 223.11—20</w:t>
            </w:r>
            <w:r>
              <w:rPr>
                <w:rFonts w:hint="eastAsia" w:cs="仿宋_GB2312"/>
                <w:color w:val="000000"/>
                <w:sz w:val="28"/>
                <w:szCs w:val="28"/>
                <w:lang w:val="en-US" w:eastAsia="zh-CN"/>
              </w:rPr>
              <w:t>25</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223.14—2000</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223.19—1989</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223.23—2008</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223.26—2008</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223.40—2007</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223.59—2008</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223.63—2022</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223.85—2009</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223.86—2009</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4336—2016</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20123—2006</w:t>
            </w:r>
          </w:p>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rPr>
            </w:pPr>
            <w:r>
              <w:rPr>
                <w:rFonts w:hint="eastAsia" w:ascii="Times New Roman" w:hAnsi="Times New Roman" w:eastAsia="仿宋_GB2312" w:cs="仿宋_GB2312"/>
                <w:color w:val="000000"/>
                <w:sz w:val="28"/>
                <w:szCs w:val="28"/>
              </w:rPr>
              <w:t>GB/T 20125—2006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016" w:type="dxa"/>
            <w:vMerge w:val="continue"/>
            <w:shd w:val="clear" w:color="auto" w:fill="auto"/>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lang w:val="en-US" w:eastAsia="zh-CN"/>
              </w:rPr>
            </w:pPr>
          </w:p>
        </w:tc>
        <w:tc>
          <w:tcPr>
            <w:tcW w:w="2164" w:type="dxa"/>
            <w:vMerge w:val="continue"/>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rPr>
            </w:pPr>
          </w:p>
        </w:tc>
        <w:tc>
          <w:tcPr>
            <w:tcW w:w="216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kern w:val="2"/>
                <w:sz w:val="28"/>
                <w:szCs w:val="28"/>
                <w:lang w:val="en-US" w:eastAsia="zh-CN" w:bidi="ar-SA"/>
              </w:rPr>
            </w:pPr>
            <w:r>
              <w:rPr>
                <w:rFonts w:hint="eastAsia" w:ascii="Times New Roman" w:hAnsi="Times New Roman" w:eastAsia="仿宋_GB2312" w:cs="仿宋_GB2312"/>
                <w:color w:val="000000"/>
                <w:sz w:val="28"/>
                <w:szCs w:val="28"/>
              </w:rPr>
              <w:t>Si</w:t>
            </w:r>
          </w:p>
        </w:tc>
        <w:tc>
          <w:tcPr>
            <w:tcW w:w="3244" w:type="dxa"/>
            <w:vMerge w:val="continue"/>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016" w:type="dxa"/>
            <w:vMerge w:val="continue"/>
            <w:shd w:val="clear" w:color="auto" w:fill="auto"/>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lang w:val="en-US" w:eastAsia="zh-CN"/>
              </w:rPr>
            </w:pPr>
          </w:p>
        </w:tc>
        <w:tc>
          <w:tcPr>
            <w:tcW w:w="2164" w:type="dxa"/>
            <w:vMerge w:val="continue"/>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rPr>
            </w:pPr>
          </w:p>
        </w:tc>
        <w:tc>
          <w:tcPr>
            <w:tcW w:w="216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kern w:val="2"/>
                <w:sz w:val="28"/>
                <w:szCs w:val="28"/>
                <w:lang w:val="en-US" w:eastAsia="zh-CN" w:bidi="ar-SA"/>
              </w:rPr>
            </w:pPr>
            <w:r>
              <w:rPr>
                <w:rFonts w:hint="eastAsia" w:ascii="Times New Roman" w:hAnsi="Times New Roman" w:eastAsia="仿宋_GB2312" w:cs="仿宋_GB2312"/>
                <w:color w:val="000000"/>
                <w:sz w:val="28"/>
                <w:szCs w:val="28"/>
              </w:rPr>
              <w:t>Mn</w:t>
            </w:r>
          </w:p>
        </w:tc>
        <w:tc>
          <w:tcPr>
            <w:tcW w:w="3244" w:type="dxa"/>
            <w:vMerge w:val="continue"/>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016" w:type="dxa"/>
            <w:vMerge w:val="continue"/>
            <w:shd w:val="clear" w:color="auto" w:fill="auto"/>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lang w:val="en-US" w:eastAsia="zh-CN"/>
              </w:rPr>
            </w:pPr>
          </w:p>
        </w:tc>
        <w:tc>
          <w:tcPr>
            <w:tcW w:w="2164" w:type="dxa"/>
            <w:vMerge w:val="continue"/>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rPr>
            </w:pPr>
          </w:p>
        </w:tc>
        <w:tc>
          <w:tcPr>
            <w:tcW w:w="216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kern w:val="2"/>
                <w:sz w:val="28"/>
                <w:szCs w:val="28"/>
                <w:lang w:val="en-US" w:eastAsia="zh-CN" w:bidi="ar-SA"/>
              </w:rPr>
            </w:pPr>
            <w:r>
              <w:rPr>
                <w:rFonts w:hint="eastAsia" w:ascii="Times New Roman" w:hAnsi="Times New Roman" w:eastAsia="仿宋_GB2312" w:cs="仿宋_GB2312"/>
                <w:color w:val="000000"/>
                <w:sz w:val="28"/>
                <w:szCs w:val="28"/>
              </w:rPr>
              <w:t>P</w:t>
            </w:r>
          </w:p>
        </w:tc>
        <w:tc>
          <w:tcPr>
            <w:tcW w:w="3244" w:type="dxa"/>
            <w:vMerge w:val="continue"/>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016" w:type="dxa"/>
            <w:vMerge w:val="continue"/>
            <w:shd w:val="clear" w:color="auto" w:fill="auto"/>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lang w:val="en-US" w:eastAsia="zh-CN"/>
              </w:rPr>
            </w:pPr>
          </w:p>
        </w:tc>
        <w:tc>
          <w:tcPr>
            <w:tcW w:w="2164" w:type="dxa"/>
            <w:vMerge w:val="continue"/>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rPr>
            </w:pPr>
          </w:p>
        </w:tc>
        <w:tc>
          <w:tcPr>
            <w:tcW w:w="216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kern w:val="2"/>
                <w:sz w:val="28"/>
                <w:szCs w:val="28"/>
                <w:lang w:val="en-US" w:eastAsia="zh-CN" w:bidi="ar-SA"/>
              </w:rPr>
            </w:pPr>
            <w:r>
              <w:rPr>
                <w:rFonts w:hint="eastAsia" w:ascii="Times New Roman" w:hAnsi="Times New Roman" w:eastAsia="仿宋_GB2312" w:cs="仿宋_GB2312"/>
                <w:color w:val="000000"/>
                <w:sz w:val="28"/>
                <w:szCs w:val="28"/>
              </w:rPr>
              <w:t>S</w:t>
            </w:r>
          </w:p>
        </w:tc>
        <w:tc>
          <w:tcPr>
            <w:tcW w:w="3244" w:type="dxa"/>
            <w:vMerge w:val="continue"/>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w:t>
            </w:r>
          </w:p>
        </w:tc>
        <w:tc>
          <w:tcPr>
            <w:tcW w:w="4328" w:type="dxa"/>
            <w:gridSpan w:val="2"/>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kern w:val="2"/>
                <w:sz w:val="28"/>
                <w:szCs w:val="28"/>
                <w:lang w:val="en-US" w:eastAsia="zh-CN" w:bidi="ar-SA"/>
              </w:rPr>
            </w:pPr>
            <w:r>
              <w:rPr>
                <w:rFonts w:hint="eastAsia" w:ascii="方正仿宋_GB2312" w:hAnsi="方正仿宋_GB2312" w:eastAsia="方正仿宋_GB2312" w:cs="方正仿宋_GB2312"/>
                <w:bCs/>
                <w:sz w:val="28"/>
                <w:szCs w:val="28"/>
                <w:lang w:eastAsia="zh-CN"/>
              </w:rPr>
              <w:t>碳当量</w:t>
            </w:r>
          </w:p>
        </w:tc>
        <w:tc>
          <w:tcPr>
            <w:tcW w:w="3244" w:type="dxa"/>
            <w:vMerge w:val="continue"/>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13</w:t>
            </w:r>
          </w:p>
        </w:tc>
        <w:tc>
          <w:tcPr>
            <w:tcW w:w="4328" w:type="dxa"/>
            <w:gridSpan w:val="2"/>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lang w:eastAsia="zh-CN"/>
              </w:rPr>
              <w:t>金相组织</w:t>
            </w:r>
          </w:p>
        </w:tc>
        <w:tc>
          <w:tcPr>
            <w:tcW w:w="324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1499.2—20</w:t>
            </w:r>
            <w:r>
              <w:rPr>
                <w:rFonts w:hint="eastAsia" w:ascii="Times New Roman" w:hAnsi="Times New Roman" w:eastAsia="仿宋_GB2312" w:cs="仿宋_GB2312"/>
                <w:color w:val="000000"/>
                <w:sz w:val="28"/>
                <w:szCs w:val="28"/>
                <w:lang w:val="en-US" w:eastAsia="zh-CN"/>
              </w:rPr>
              <w:t>24</w:t>
            </w:r>
          </w:p>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lang w:eastAsia="zh-CN"/>
              </w:rPr>
            </w:pPr>
            <w:r>
              <w:rPr>
                <w:rFonts w:hint="eastAsia" w:ascii="Times New Roman" w:hAnsi="Times New Roman" w:eastAsia="仿宋_GB2312" w:cs="仿宋_GB2312"/>
                <w:color w:val="000000"/>
                <w:sz w:val="28"/>
                <w:szCs w:val="28"/>
              </w:rPr>
              <w:t>GB/T 13298—2015</w:t>
            </w:r>
          </w:p>
        </w:tc>
      </w:tr>
    </w:tbl>
    <w:p>
      <w:pPr>
        <w:keepNext w:val="0"/>
        <w:keepLines w:val="0"/>
        <w:pageBreakBefore w:val="0"/>
        <w:widowControl w:val="0"/>
        <w:numPr>
          <w:ilvl w:val="0"/>
          <w:numId w:val="0"/>
        </w:numPr>
        <w:kinsoku/>
        <w:wordWrap/>
        <w:overflowPunct/>
        <w:topLinePunct w:val="0"/>
        <w:autoSpaceDE/>
        <w:bidi w:val="0"/>
        <w:snapToGrid w:val="0"/>
        <w:spacing w:line="240" w:lineRule="auto"/>
        <w:ind w:firstLine="320" w:firstLineChars="1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2.热轧光圆钢筋</w:t>
      </w:r>
    </w:p>
    <w:tbl>
      <w:tblPr>
        <w:tblStyle w:val="8"/>
        <w:tblW w:w="8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857"/>
        <w:gridCol w:w="1857"/>
        <w:gridCol w:w="3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rPr>
              <w:t>序号</w:t>
            </w:r>
          </w:p>
        </w:tc>
        <w:tc>
          <w:tcPr>
            <w:tcW w:w="3714" w:type="dxa"/>
            <w:gridSpan w:val="2"/>
            <w:vAlign w:val="center"/>
          </w:tcPr>
          <w:p>
            <w:pPr>
              <w:keepNext w:val="0"/>
              <w:keepLines w:val="0"/>
              <w:pageBreakBefore w:val="0"/>
              <w:widowControl w:val="0"/>
              <w:kinsoku/>
              <w:wordWrap/>
              <w:overflowPunct/>
              <w:topLinePunct w:val="0"/>
              <w:autoSpaceDE/>
              <w:bidi w:val="0"/>
              <w:snapToGrid w:val="0"/>
              <w:spacing w:line="240" w:lineRule="auto"/>
              <w:ind w:firstLine="560" w:firstLineChars="200"/>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rPr>
              <w:t>检验项目</w:t>
            </w:r>
          </w:p>
        </w:tc>
        <w:tc>
          <w:tcPr>
            <w:tcW w:w="3252" w:type="dxa"/>
            <w:vAlign w:val="center"/>
          </w:tcPr>
          <w:p>
            <w:pPr>
              <w:keepNext w:val="0"/>
              <w:keepLines w:val="0"/>
              <w:pageBreakBefore w:val="0"/>
              <w:widowControl w:val="0"/>
              <w:kinsoku/>
              <w:wordWrap/>
              <w:overflowPunct/>
              <w:topLinePunct w:val="0"/>
              <w:autoSpaceDE/>
              <w:bidi w:val="0"/>
              <w:adjustRightInd w:val="0"/>
              <w:snapToGrid w:val="0"/>
              <w:spacing w:line="240" w:lineRule="auto"/>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rPr>
              <w:t>1</w:t>
            </w:r>
          </w:p>
        </w:tc>
        <w:tc>
          <w:tcPr>
            <w:tcW w:w="3714" w:type="dxa"/>
            <w:gridSpan w:val="2"/>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Cs/>
                <w:sz w:val="32"/>
                <w:szCs w:val="32"/>
                <w:lang w:eastAsia="zh-CN"/>
              </w:rPr>
              <w:t>下</w:t>
            </w:r>
            <w:r>
              <w:rPr>
                <w:rFonts w:hint="eastAsia" w:ascii="方正仿宋_GB2312" w:hAnsi="方正仿宋_GB2312" w:eastAsia="方正仿宋_GB2312" w:cs="方正仿宋_GB2312"/>
                <w:bCs/>
                <w:sz w:val="32"/>
                <w:szCs w:val="32"/>
              </w:rPr>
              <w:t>屈服强度</w:t>
            </w:r>
          </w:p>
        </w:tc>
        <w:tc>
          <w:tcPr>
            <w:tcW w:w="32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cs="仿宋_GB2312"/>
                <w:color w:val="000000"/>
                <w:sz w:val="28"/>
                <w:szCs w:val="28"/>
                <w:lang w:val="en-US" w:eastAsia="zh-CN"/>
              </w:rPr>
              <w:t xml:space="preserve">  </w:t>
            </w:r>
            <w:r>
              <w:rPr>
                <w:rFonts w:hint="eastAsia" w:ascii="Times New Roman" w:hAnsi="Times New Roman" w:eastAsia="仿宋_GB2312" w:cs="仿宋_GB2312"/>
                <w:color w:val="000000"/>
                <w:sz w:val="28"/>
                <w:szCs w:val="28"/>
              </w:rPr>
              <w:t>GB 1499.1—20</w:t>
            </w:r>
            <w:r>
              <w:rPr>
                <w:rFonts w:hint="eastAsia" w:ascii="Times New Roman" w:hAnsi="Times New Roman" w:eastAsia="仿宋_GB2312" w:cs="仿宋_GB2312"/>
                <w:color w:val="000000"/>
                <w:sz w:val="28"/>
                <w:szCs w:val="28"/>
                <w:lang w:val="en-US" w:eastAsia="zh-CN"/>
              </w:rPr>
              <w:t>24</w:t>
            </w:r>
          </w:p>
          <w:p>
            <w:pPr>
              <w:keepNext w:val="0"/>
              <w:keepLines w:val="0"/>
              <w:pageBreakBefore w:val="0"/>
              <w:widowControl w:val="0"/>
              <w:kinsoku/>
              <w:wordWrap/>
              <w:overflowPunct/>
              <w:topLinePunct w:val="0"/>
              <w:autoSpaceDE/>
              <w:bidi w:val="0"/>
              <w:adjustRightInd/>
              <w:snapToGrid w:val="0"/>
              <w:spacing w:line="240" w:lineRule="auto"/>
              <w:ind w:firstLine="560" w:firstLineChars="200"/>
              <w:textAlignment w:val="auto"/>
              <w:rPr>
                <w:rFonts w:hint="eastAsia" w:ascii="方正仿宋_GB2312" w:hAnsi="方正仿宋_GB2312" w:eastAsia="方正仿宋_GB2312" w:cs="方正仿宋_GB2312"/>
                <w:sz w:val="32"/>
                <w:szCs w:val="32"/>
                <w:vertAlign w:val="baseline"/>
                <w:lang w:val="en-US" w:eastAsia="zh-CN"/>
              </w:rPr>
            </w:pPr>
            <w:r>
              <w:rPr>
                <w:rFonts w:hint="eastAsia" w:ascii="Times New Roman" w:hAnsi="Times New Roman" w:eastAsia="仿宋_GB2312" w:cs="仿宋_GB2312"/>
                <w:color w:val="000000"/>
                <w:sz w:val="28"/>
                <w:szCs w:val="28"/>
              </w:rPr>
              <w:t>GB/T 28900—2022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rPr>
              <w:t>2</w:t>
            </w:r>
          </w:p>
        </w:tc>
        <w:tc>
          <w:tcPr>
            <w:tcW w:w="3714" w:type="dxa"/>
            <w:gridSpan w:val="2"/>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Cs/>
                <w:sz w:val="32"/>
                <w:szCs w:val="32"/>
              </w:rPr>
              <w:t>抗拉强度</w:t>
            </w:r>
          </w:p>
        </w:tc>
        <w:tc>
          <w:tcPr>
            <w:tcW w:w="3252" w:type="dxa"/>
            <w:vMerge w:val="continue"/>
          </w:tcPr>
          <w:p>
            <w:pPr>
              <w:keepNext w:val="0"/>
              <w:keepLines w:val="0"/>
              <w:pageBreakBefore w:val="0"/>
              <w:widowControl w:val="0"/>
              <w:numPr>
                <w:ilvl w:val="0"/>
                <w:numId w:val="0"/>
              </w:numPr>
              <w:kinsoku/>
              <w:wordWrap/>
              <w:overflowPunct/>
              <w:topLinePunct w:val="0"/>
              <w:autoSpaceDE/>
              <w:autoSpaceDN/>
              <w:bidi w:val="0"/>
              <w:spacing w:line="240" w:lineRule="auto"/>
              <w:textAlignment w:val="auto"/>
              <w:outlineLvl w:val="9"/>
              <w:rPr>
                <w:rFonts w:hint="eastAsia" w:ascii="方正仿宋_GB2312" w:hAnsi="方正仿宋_GB2312" w:eastAsia="方正仿宋_GB2312" w:cs="方正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rPr>
              <w:t>3</w:t>
            </w:r>
          </w:p>
        </w:tc>
        <w:tc>
          <w:tcPr>
            <w:tcW w:w="3714" w:type="dxa"/>
            <w:gridSpan w:val="2"/>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Cs/>
                <w:sz w:val="32"/>
                <w:szCs w:val="32"/>
              </w:rPr>
              <w:t>断后伸长率</w:t>
            </w:r>
          </w:p>
        </w:tc>
        <w:tc>
          <w:tcPr>
            <w:tcW w:w="3252" w:type="dxa"/>
            <w:vMerge w:val="continue"/>
          </w:tcPr>
          <w:p>
            <w:pPr>
              <w:keepNext w:val="0"/>
              <w:keepLines w:val="0"/>
              <w:pageBreakBefore w:val="0"/>
              <w:widowControl w:val="0"/>
              <w:numPr>
                <w:ilvl w:val="0"/>
                <w:numId w:val="0"/>
              </w:numPr>
              <w:kinsoku/>
              <w:wordWrap/>
              <w:overflowPunct/>
              <w:topLinePunct w:val="0"/>
              <w:autoSpaceDE/>
              <w:autoSpaceDN/>
              <w:bidi w:val="0"/>
              <w:spacing w:line="240" w:lineRule="auto"/>
              <w:textAlignment w:val="auto"/>
              <w:outlineLvl w:val="9"/>
              <w:rPr>
                <w:rFonts w:hint="eastAsia" w:ascii="方正仿宋_GB2312" w:hAnsi="方正仿宋_GB2312" w:eastAsia="方正仿宋_GB2312" w:cs="方正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rPr>
              <w:t>4</w:t>
            </w:r>
          </w:p>
        </w:tc>
        <w:tc>
          <w:tcPr>
            <w:tcW w:w="3714" w:type="dxa"/>
            <w:gridSpan w:val="2"/>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Cs/>
                <w:sz w:val="32"/>
                <w:szCs w:val="32"/>
                <w:lang w:eastAsia="zh-CN"/>
              </w:rPr>
              <w:t>最大力总延伸率</w:t>
            </w:r>
          </w:p>
        </w:tc>
        <w:tc>
          <w:tcPr>
            <w:tcW w:w="3252" w:type="dxa"/>
            <w:vMerge w:val="continue"/>
          </w:tcPr>
          <w:p>
            <w:pPr>
              <w:keepNext w:val="0"/>
              <w:keepLines w:val="0"/>
              <w:pageBreakBefore w:val="0"/>
              <w:widowControl w:val="0"/>
              <w:numPr>
                <w:ilvl w:val="0"/>
                <w:numId w:val="0"/>
              </w:numPr>
              <w:kinsoku/>
              <w:wordWrap/>
              <w:overflowPunct/>
              <w:topLinePunct w:val="0"/>
              <w:autoSpaceDE/>
              <w:autoSpaceDN/>
              <w:bidi w:val="0"/>
              <w:spacing w:line="240" w:lineRule="auto"/>
              <w:textAlignment w:val="auto"/>
              <w:outlineLvl w:val="9"/>
              <w:rPr>
                <w:rFonts w:hint="eastAsia" w:ascii="方正仿宋_GB2312" w:hAnsi="方正仿宋_GB2312" w:eastAsia="方正仿宋_GB2312" w:cs="方正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rPr>
              <w:t>5</w:t>
            </w:r>
          </w:p>
        </w:tc>
        <w:tc>
          <w:tcPr>
            <w:tcW w:w="3714" w:type="dxa"/>
            <w:gridSpan w:val="2"/>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Cs/>
                <w:sz w:val="32"/>
                <w:szCs w:val="32"/>
              </w:rPr>
              <w:t>弯曲性能</w:t>
            </w:r>
          </w:p>
        </w:tc>
        <w:tc>
          <w:tcPr>
            <w:tcW w:w="3252"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cs="仿宋_GB2312"/>
                <w:color w:val="000000"/>
                <w:sz w:val="28"/>
                <w:szCs w:val="28"/>
                <w:lang w:val="en-US" w:eastAsia="zh-CN"/>
              </w:rPr>
              <w:t xml:space="preserve">  </w:t>
            </w:r>
            <w:r>
              <w:rPr>
                <w:rFonts w:hint="eastAsia" w:ascii="Times New Roman" w:hAnsi="Times New Roman" w:eastAsia="仿宋_GB2312" w:cs="仿宋_GB2312"/>
                <w:color w:val="000000"/>
                <w:sz w:val="28"/>
                <w:szCs w:val="28"/>
              </w:rPr>
              <w:t>GB 1499.1—20</w:t>
            </w:r>
            <w:r>
              <w:rPr>
                <w:rFonts w:hint="eastAsia" w:ascii="Times New Roman" w:hAnsi="Times New Roman" w:eastAsia="仿宋_GB2312" w:cs="仿宋_GB2312"/>
                <w:color w:val="000000"/>
                <w:sz w:val="28"/>
                <w:szCs w:val="28"/>
                <w:lang w:val="en-US" w:eastAsia="zh-CN"/>
              </w:rPr>
              <w:t>24</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560" w:firstLineChars="200"/>
              <w:textAlignment w:val="auto"/>
              <w:outlineLvl w:val="9"/>
              <w:rPr>
                <w:rFonts w:hint="eastAsia" w:ascii="方正仿宋_GB2312" w:hAnsi="方正仿宋_GB2312" w:eastAsia="方正仿宋_GB2312" w:cs="方正仿宋_GB2312"/>
                <w:sz w:val="32"/>
                <w:szCs w:val="32"/>
                <w:vertAlign w:val="baseline"/>
                <w:lang w:val="en-US" w:eastAsia="zh-CN"/>
              </w:rPr>
            </w:pPr>
            <w:r>
              <w:rPr>
                <w:rFonts w:hint="eastAsia" w:ascii="Times New Roman" w:hAnsi="Times New Roman" w:eastAsia="仿宋_GB2312" w:cs="仿宋_GB2312"/>
                <w:color w:val="000000"/>
                <w:sz w:val="28"/>
                <w:szCs w:val="28"/>
              </w:rPr>
              <w:t>GB/T 28900—2022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609" w:type="dxa"/>
            <w:vMerge w:val="restart"/>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w:t>
            </w:r>
          </w:p>
        </w:tc>
        <w:tc>
          <w:tcPr>
            <w:tcW w:w="1857" w:type="dxa"/>
            <w:vMerge w:val="restart"/>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化学</w:t>
            </w:r>
          </w:p>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b/>
                <w:bCs w:val="0"/>
                <w:sz w:val="32"/>
                <w:szCs w:val="32"/>
              </w:rPr>
            </w:pPr>
            <w:r>
              <w:rPr>
                <w:rFonts w:hint="eastAsia" w:ascii="方正仿宋_GB2312" w:hAnsi="方正仿宋_GB2312" w:eastAsia="方正仿宋_GB2312" w:cs="方正仿宋_GB2312"/>
                <w:bCs/>
                <w:sz w:val="32"/>
                <w:szCs w:val="32"/>
              </w:rPr>
              <w:t>成分</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Cs/>
                <w:sz w:val="32"/>
                <w:szCs w:val="32"/>
              </w:rPr>
            </w:pPr>
            <w:r>
              <w:rPr>
                <w:rFonts w:hint="eastAsia" w:ascii="Times New Roman" w:hAnsi="Times New Roman" w:eastAsia="仿宋_GB2312" w:cs="仿宋_GB2312"/>
                <w:color w:val="000000"/>
                <w:sz w:val="28"/>
                <w:szCs w:val="28"/>
              </w:rPr>
              <w:t>C</w:t>
            </w:r>
          </w:p>
        </w:tc>
        <w:tc>
          <w:tcPr>
            <w:tcW w:w="3252" w:type="dxa"/>
            <w:vMerge w:val="restart"/>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223.5—2008</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223.59—2008</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223.63—2022</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223.85—2009</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223.86—2009</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4336—2016</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20123—2006</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2312" w:hAnsi="方正仿宋_GB2312" w:eastAsia="方正仿宋_GB2312" w:cs="方正仿宋_GB2312"/>
                <w:sz w:val="32"/>
                <w:szCs w:val="32"/>
                <w:vertAlign w:val="baseline"/>
                <w:lang w:val="en-US" w:eastAsia="zh-CN"/>
              </w:rPr>
            </w:pPr>
            <w:r>
              <w:rPr>
                <w:rFonts w:hint="eastAsia" w:ascii="Times New Roman" w:hAnsi="Times New Roman" w:eastAsia="仿宋_GB2312" w:cs="仿宋_GB2312"/>
                <w:color w:val="000000"/>
                <w:sz w:val="28"/>
                <w:szCs w:val="28"/>
              </w:rPr>
              <w:t>GB/T 20125—2006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09" w:type="dxa"/>
            <w:vMerge w:val="continue"/>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28"/>
                <w:szCs w:val="28"/>
              </w:rPr>
            </w:pPr>
          </w:p>
        </w:tc>
        <w:tc>
          <w:tcPr>
            <w:tcW w:w="1857" w:type="dxa"/>
            <w:vMerge w:val="continue"/>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bCs/>
                <w:sz w:val="32"/>
                <w:szCs w:val="32"/>
              </w:rPr>
            </w:pP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Cs/>
                <w:sz w:val="32"/>
                <w:szCs w:val="32"/>
              </w:rPr>
            </w:pPr>
            <w:r>
              <w:rPr>
                <w:rFonts w:hint="eastAsia" w:ascii="Times New Roman" w:hAnsi="Times New Roman" w:eastAsia="仿宋_GB2312" w:cs="仿宋_GB2312"/>
                <w:color w:val="000000"/>
                <w:sz w:val="28"/>
                <w:szCs w:val="28"/>
              </w:rPr>
              <w:t>Si</w:t>
            </w:r>
          </w:p>
        </w:tc>
        <w:tc>
          <w:tcPr>
            <w:tcW w:w="3252" w:type="dxa"/>
            <w:vMerge w:val="continue"/>
          </w:tcPr>
          <w:p>
            <w:pPr>
              <w:keepNext w:val="0"/>
              <w:keepLines w:val="0"/>
              <w:pageBreakBefore w:val="0"/>
              <w:widowControl w:val="0"/>
              <w:numPr>
                <w:ilvl w:val="0"/>
                <w:numId w:val="0"/>
              </w:numPr>
              <w:kinsoku/>
              <w:wordWrap/>
              <w:overflowPunct/>
              <w:topLinePunct w:val="0"/>
              <w:autoSpaceDE/>
              <w:autoSpaceDN/>
              <w:bidi w:val="0"/>
              <w:spacing w:line="240" w:lineRule="auto"/>
              <w:textAlignment w:val="auto"/>
              <w:outlineLvl w:val="9"/>
              <w:rPr>
                <w:rFonts w:hint="eastAsia" w:ascii="方正仿宋_GB2312" w:hAnsi="方正仿宋_GB2312" w:eastAsia="方正仿宋_GB2312" w:cs="方正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609" w:type="dxa"/>
            <w:vMerge w:val="continue"/>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28"/>
                <w:szCs w:val="28"/>
              </w:rPr>
            </w:pPr>
          </w:p>
        </w:tc>
        <w:tc>
          <w:tcPr>
            <w:tcW w:w="1857" w:type="dxa"/>
            <w:vMerge w:val="continue"/>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bCs/>
                <w:sz w:val="32"/>
                <w:szCs w:val="32"/>
              </w:rPr>
            </w:pP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Cs/>
                <w:sz w:val="32"/>
                <w:szCs w:val="32"/>
              </w:rPr>
            </w:pPr>
            <w:r>
              <w:rPr>
                <w:rFonts w:hint="eastAsia" w:ascii="Times New Roman" w:hAnsi="Times New Roman" w:eastAsia="仿宋_GB2312" w:cs="仿宋_GB2312"/>
                <w:color w:val="000000"/>
                <w:sz w:val="28"/>
                <w:szCs w:val="28"/>
              </w:rPr>
              <w:t>Mn</w:t>
            </w:r>
          </w:p>
        </w:tc>
        <w:tc>
          <w:tcPr>
            <w:tcW w:w="3252" w:type="dxa"/>
            <w:vMerge w:val="continue"/>
          </w:tcPr>
          <w:p>
            <w:pPr>
              <w:keepNext w:val="0"/>
              <w:keepLines w:val="0"/>
              <w:pageBreakBefore w:val="0"/>
              <w:widowControl w:val="0"/>
              <w:numPr>
                <w:ilvl w:val="0"/>
                <w:numId w:val="0"/>
              </w:numPr>
              <w:kinsoku/>
              <w:wordWrap/>
              <w:overflowPunct/>
              <w:topLinePunct w:val="0"/>
              <w:autoSpaceDE/>
              <w:autoSpaceDN/>
              <w:bidi w:val="0"/>
              <w:spacing w:line="240" w:lineRule="auto"/>
              <w:textAlignment w:val="auto"/>
              <w:outlineLvl w:val="9"/>
              <w:rPr>
                <w:rFonts w:hint="eastAsia" w:ascii="方正仿宋_GB2312" w:hAnsi="方正仿宋_GB2312" w:eastAsia="方正仿宋_GB2312" w:cs="方正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09" w:type="dxa"/>
            <w:vMerge w:val="continue"/>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28"/>
                <w:szCs w:val="28"/>
              </w:rPr>
            </w:pPr>
          </w:p>
        </w:tc>
        <w:tc>
          <w:tcPr>
            <w:tcW w:w="1857" w:type="dxa"/>
            <w:vMerge w:val="continue"/>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bCs/>
                <w:sz w:val="32"/>
                <w:szCs w:val="32"/>
              </w:rPr>
            </w:pP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Cs/>
                <w:sz w:val="32"/>
                <w:szCs w:val="32"/>
              </w:rPr>
            </w:pPr>
            <w:r>
              <w:rPr>
                <w:rFonts w:hint="eastAsia" w:ascii="Times New Roman" w:hAnsi="Times New Roman" w:eastAsia="仿宋_GB2312" w:cs="仿宋_GB2312"/>
                <w:color w:val="000000"/>
                <w:sz w:val="28"/>
                <w:szCs w:val="28"/>
              </w:rPr>
              <w:t>P</w:t>
            </w:r>
          </w:p>
        </w:tc>
        <w:tc>
          <w:tcPr>
            <w:tcW w:w="3252" w:type="dxa"/>
            <w:vMerge w:val="continue"/>
          </w:tcPr>
          <w:p>
            <w:pPr>
              <w:keepNext w:val="0"/>
              <w:keepLines w:val="0"/>
              <w:pageBreakBefore w:val="0"/>
              <w:widowControl w:val="0"/>
              <w:numPr>
                <w:ilvl w:val="0"/>
                <w:numId w:val="0"/>
              </w:numPr>
              <w:kinsoku/>
              <w:wordWrap/>
              <w:overflowPunct/>
              <w:topLinePunct w:val="0"/>
              <w:autoSpaceDE/>
              <w:autoSpaceDN/>
              <w:bidi w:val="0"/>
              <w:spacing w:line="240" w:lineRule="auto"/>
              <w:textAlignment w:val="auto"/>
              <w:outlineLvl w:val="9"/>
              <w:rPr>
                <w:rFonts w:hint="eastAsia" w:ascii="方正仿宋_GB2312" w:hAnsi="方正仿宋_GB2312" w:eastAsia="方正仿宋_GB2312" w:cs="方正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09" w:type="dxa"/>
            <w:vMerge w:val="continue"/>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28"/>
                <w:szCs w:val="28"/>
              </w:rPr>
            </w:pPr>
          </w:p>
        </w:tc>
        <w:tc>
          <w:tcPr>
            <w:tcW w:w="1857" w:type="dxa"/>
            <w:vMerge w:val="continue"/>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bCs/>
                <w:sz w:val="32"/>
                <w:szCs w:val="32"/>
              </w:rPr>
            </w:pP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Cs/>
                <w:sz w:val="32"/>
                <w:szCs w:val="32"/>
              </w:rPr>
            </w:pPr>
            <w:r>
              <w:rPr>
                <w:rFonts w:hint="eastAsia" w:ascii="Times New Roman" w:hAnsi="Times New Roman" w:eastAsia="仿宋_GB2312" w:cs="仿宋_GB2312"/>
                <w:color w:val="000000"/>
                <w:sz w:val="28"/>
                <w:szCs w:val="28"/>
              </w:rPr>
              <w:t>S</w:t>
            </w:r>
          </w:p>
        </w:tc>
        <w:tc>
          <w:tcPr>
            <w:tcW w:w="3252" w:type="dxa"/>
            <w:vMerge w:val="continue"/>
          </w:tcPr>
          <w:p>
            <w:pPr>
              <w:keepNext w:val="0"/>
              <w:keepLines w:val="0"/>
              <w:pageBreakBefore w:val="0"/>
              <w:widowControl w:val="0"/>
              <w:numPr>
                <w:ilvl w:val="0"/>
                <w:numId w:val="0"/>
              </w:numPr>
              <w:kinsoku/>
              <w:wordWrap/>
              <w:overflowPunct/>
              <w:topLinePunct w:val="0"/>
              <w:autoSpaceDE/>
              <w:autoSpaceDN/>
              <w:bidi w:val="0"/>
              <w:spacing w:line="240" w:lineRule="auto"/>
              <w:textAlignment w:val="auto"/>
              <w:outlineLvl w:val="9"/>
              <w:rPr>
                <w:rFonts w:hint="eastAsia" w:ascii="方正仿宋_GB2312" w:hAnsi="方正仿宋_GB2312" w:eastAsia="方正仿宋_GB2312" w:cs="方正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lang w:val="en-US" w:eastAsia="zh-CN"/>
              </w:rPr>
              <w:t>7</w:t>
            </w:r>
          </w:p>
        </w:tc>
        <w:tc>
          <w:tcPr>
            <w:tcW w:w="3714" w:type="dxa"/>
            <w:gridSpan w:val="2"/>
            <w:shd w:val="clear" w:color="auto" w:fill="auto"/>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kern w:val="2"/>
                <w:sz w:val="32"/>
                <w:szCs w:val="32"/>
                <w:vertAlign w:val="baseline"/>
                <w:lang w:val="en-US" w:eastAsia="zh-CN" w:bidi="ar-SA"/>
              </w:rPr>
            </w:pPr>
            <w:r>
              <w:rPr>
                <w:rFonts w:hint="eastAsia" w:ascii="方正仿宋_GB2312" w:hAnsi="方正仿宋_GB2312" w:eastAsia="方正仿宋_GB2312" w:cs="方正仿宋_GB2312"/>
                <w:bCs/>
                <w:sz w:val="32"/>
                <w:szCs w:val="32"/>
              </w:rPr>
              <w:t>重量偏差</w:t>
            </w:r>
          </w:p>
        </w:tc>
        <w:tc>
          <w:tcPr>
            <w:tcW w:w="3252" w:type="dxa"/>
          </w:tcPr>
          <w:p>
            <w:pPr>
              <w:keepNext w:val="0"/>
              <w:keepLines w:val="0"/>
              <w:pageBreakBefore w:val="0"/>
              <w:widowControl w:val="0"/>
              <w:numPr>
                <w:ilvl w:val="0"/>
                <w:numId w:val="0"/>
              </w:numPr>
              <w:kinsoku/>
              <w:wordWrap/>
              <w:overflowPunct/>
              <w:topLinePunct w:val="0"/>
              <w:autoSpaceDE/>
              <w:autoSpaceDN/>
              <w:bidi w:val="0"/>
              <w:spacing w:line="240" w:lineRule="auto"/>
              <w:jc w:val="center"/>
              <w:textAlignment w:val="auto"/>
              <w:outlineLvl w:val="9"/>
              <w:rPr>
                <w:rFonts w:hint="eastAsia" w:ascii="方正仿宋_GB2312" w:hAnsi="方正仿宋_GB2312" w:eastAsia="方正仿宋_GB2312" w:cs="方正仿宋_GB2312"/>
                <w:sz w:val="32"/>
                <w:szCs w:val="32"/>
                <w:vertAlign w:val="baseline"/>
                <w:lang w:val="en-US" w:eastAsia="zh-CN"/>
              </w:rPr>
            </w:pPr>
            <w:r>
              <w:rPr>
                <w:rFonts w:hint="eastAsia" w:ascii="Times New Roman" w:hAnsi="Times New Roman" w:eastAsia="仿宋_GB2312" w:cs="仿宋_GB2312"/>
                <w:color w:val="000000"/>
                <w:sz w:val="28"/>
                <w:szCs w:val="28"/>
              </w:rPr>
              <w:t>GB 1499.1—20</w:t>
            </w:r>
            <w:r>
              <w:rPr>
                <w:rFonts w:hint="eastAsia" w:ascii="Times New Roman" w:hAnsi="Times New Roman" w:eastAsia="仿宋_GB2312" w:cs="仿宋_GB2312"/>
                <w:color w:val="000000"/>
                <w:sz w:val="28"/>
                <w:szCs w:val="28"/>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8</w:t>
            </w:r>
          </w:p>
        </w:tc>
        <w:tc>
          <w:tcPr>
            <w:tcW w:w="3714" w:type="dxa"/>
            <w:gridSpan w:val="2"/>
            <w:shd w:val="clear" w:color="auto" w:fill="auto"/>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kern w:val="2"/>
                <w:sz w:val="32"/>
                <w:szCs w:val="32"/>
                <w:vertAlign w:val="baseline"/>
                <w:lang w:val="en-US" w:eastAsia="zh-CN" w:bidi="ar-SA"/>
              </w:rPr>
            </w:pPr>
            <w:r>
              <w:rPr>
                <w:rFonts w:hint="eastAsia" w:ascii="方正仿宋_GB2312" w:hAnsi="方正仿宋_GB2312" w:eastAsia="方正仿宋_GB2312" w:cs="方正仿宋_GB2312"/>
                <w:bCs/>
                <w:sz w:val="32"/>
                <w:szCs w:val="32"/>
              </w:rPr>
              <w:t>表面质量</w:t>
            </w:r>
          </w:p>
        </w:tc>
        <w:tc>
          <w:tcPr>
            <w:tcW w:w="3252" w:type="dxa"/>
          </w:tcPr>
          <w:p>
            <w:pPr>
              <w:keepNext w:val="0"/>
              <w:keepLines w:val="0"/>
              <w:pageBreakBefore w:val="0"/>
              <w:widowControl w:val="0"/>
              <w:numPr>
                <w:ilvl w:val="0"/>
                <w:numId w:val="0"/>
              </w:numPr>
              <w:kinsoku/>
              <w:wordWrap/>
              <w:overflowPunct/>
              <w:topLinePunct w:val="0"/>
              <w:autoSpaceDE/>
              <w:autoSpaceDN/>
              <w:bidi w:val="0"/>
              <w:spacing w:line="240" w:lineRule="auto"/>
              <w:jc w:val="center"/>
              <w:textAlignment w:val="auto"/>
              <w:outlineLvl w:val="9"/>
              <w:rPr>
                <w:rFonts w:hint="eastAsia" w:ascii="方正仿宋_GB2312" w:hAnsi="方正仿宋_GB2312" w:eastAsia="方正仿宋_GB2312" w:cs="方正仿宋_GB2312"/>
                <w:sz w:val="32"/>
                <w:szCs w:val="32"/>
                <w:vertAlign w:val="baseline"/>
                <w:lang w:val="en-US" w:eastAsia="zh-CN"/>
              </w:rPr>
            </w:pPr>
            <w:r>
              <w:rPr>
                <w:rFonts w:hint="eastAsia" w:ascii="Times New Roman" w:hAnsi="Times New Roman" w:eastAsia="仿宋_GB2312" w:cs="仿宋_GB2312"/>
                <w:color w:val="000000"/>
                <w:sz w:val="28"/>
                <w:szCs w:val="28"/>
              </w:rPr>
              <w:t>GB 1499.1—20</w:t>
            </w:r>
            <w:r>
              <w:rPr>
                <w:rFonts w:hint="eastAsia" w:ascii="Times New Roman" w:hAnsi="Times New Roman" w:eastAsia="仿宋_GB2312" w:cs="仿宋_GB2312"/>
                <w:color w:val="000000"/>
                <w:sz w:val="28"/>
                <w:szCs w:val="28"/>
                <w:lang w:val="en-US" w:eastAsia="zh-CN"/>
              </w:rPr>
              <w:t>24</w:t>
            </w:r>
          </w:p>
        </w:tc>
      </w:tr>
    </w:tbl>
    <w:p>
      <w:pPr>
        <w:keepNext w:val="0"/>
        <w:keepLines w:val="0"/>
        <w:pageBreakBefore w:val="0"/>
        <w:widowControl w:val="0"/>
        <w:kinsoku/>
        <w:wordWrap/>
        <w:overflowPunct/>
        <w:topLinePunct w:val="0"/>
        <w:autoSpaceDE/>
        <w:bidi w:val="0"/>
        <w:snapToGrid w:val="0"/>
        <w:spacing w:line="240" w:lineRule="auto"/>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注：执行企业标准、团体标准、地方标准的产品，检验项目参照上述内容执行。</w:t>
      </w:r>
    </w:p>
    <w:p>
      <w:pPr>
        <w:keepNext w:val="0"/>
        <w:keepLines w:val="0"/>
        <w:pageBreakBefore w:val="0"/>
        <w:widowControl w:val="0"/>
        <w:kinsoku/>
        <w:wordWrap/>
        <w:overflowPunct/>
        <w:topLinePunct w:val="0"/>
        <w:autoSpaceDE/>
        <w:bidi w:val="0"/>
        <w:snapToGrid w:val="0"/>
        <w:spacing w:line="240" w:lineRule="auto"/>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凡是注</w:t>
      </w:r>
      <w:r>
        <w:rPr>
          <w:rFonts w:hint="eastAsia" w:ascii="方正仿宋_GB2312" w:hAnsi="方正仿宋_GB2312" w:eastAsia="方正仿宋_GB2312" w:cs="方正仿宋_GB2312"/>
          <w:color w:val="000000"/>
          <w:sz w:val="32"/>
          <w:szCs w:val="32"/>
          <w:lang w:eastAsia="zh-CN"/>
        </w:rPr>
        <w:t>明</w:t>
      </w:r>
      <w:r>
        <w:rPr>
          <w:rFonts w:hint="eastAsia" w:ascii="方正仿宋_GB2312" w:hAnsi="方正仿宋_GB2312" w:eastAsia="方正仿宋_GB2312" w:cs="方正仿宋_GB2312"/>
          <w:color w:val="000000"/>
          <w:sz w:val="32"/>
          <w:szCs w:val="32"/>
        </w:rPr>
        <w:t>日期的文件，其随后所有的修改单（不包括勘误的内容）或修订版不适用于本细则。凡是不注</w:t>
      </w:r>
      <w:r>
        <w:rPr>
          <w:rFonts w:hint="eastAsia" w:ascii="方正仿宋_GB2312" w:hAnsi="方正仿宋_GB2312" w:eastAsia="方正仿宋_GB2312" w:cs="方正仿宋_GB2312"/>
          <w:color w:val="000000"/>
          <w:sz w:val="32"/>
          <w:szCs w:val="32"/>
          <w:lang w:eastAsia="zh-CN"/>
        </w:rPr>
        <w:t>明</w:t>
      </w:r>
      <w:r>
        <w:rPr>
          <w:rFonts w:hint="eastAsia" w:ascii="方正仿宋_GB2312" w:hAnsi="方正仿宋_GB2312" w:eastAsia="方正仿宋_GB2312" w:cs="方正仿宋_GB2312"/>
          <w:color w:val="000000"/>
          <w:sz w:val="32"/>
          <w:szCs w:val="32"/>
        </w:rPr>
        <w:t>日期的文件，其最新版本适用于本细则。</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三、判定规则</w:t>
      </w:r>
    </w:p>
    <w:p>
      <w:pPr>
        <w:keepNext w:val="0"/>
        <w:keepLines w:val="0"/>
        <w:pageBreakBefore w:val="0"/>
        <w:widowControl w:val="0"/>
        <w:kinsoku/>
        <w:wordWrap/>
        <w:overflowPunct/>
        <w:topLinePunct w:val="0"/>
        <w:autoSpaceDE/>
        <w:bidi w:val="0"/>
        <w:snapToGrid w:val="0"/>
        <w:spacing w:line="240" w:lineRule="auto"/>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（一）依据标准</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GB</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1499.1</w:t>
      </w:r>
      <w:r>
        <w:rPr>
          <w:rFonts w:hint="eastAsia" w:ascii="方正仿宋_GB2312" w:hAnsi="方正仿宋_GB2312" w:eastAsia="方正仿宋_GB2312" w:cs="方正仿宋_GB2312"/>
          <w:sz w:val="32"/>
          <w:szCs w:val="32"/>
          <w:lang w:val="en-US" w:eastAsia="zh-CN"/>
        </w:rPr>
        <w:t>-2024</w:t>
      </w:r>
      <w:r>
        <w:rPr>
          <w:rFonts w:hint="eastAsia" w:ascii="方正仿宋_GB2312" w:hAnsi="方正仿宋_GB2312" w:eastAsia="方正仿宋_GB2312" w:cs="方正仿宋_GB2312"/>
          <w:sz w:val="32"/>
          <w:szCs w:val="32"/>
        </w:rPr>
        <w:t xml:space="preserve"> 钢筋混凝土用钢 第1部分：热轧光圆钢筋</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GB 1499.2</w:t>
      </w:r>
      <w:r>
        <w:rPr>
          <w:rFonts w:hint="eastAsia" w:ascii="方正仿宋_GB2312" w:hAnsi="方正仿宋_GB2312" w:eastAsia="方正仿宋_GB2312" w:cs="方正仿宋_GB2312"/>
          <w:sz w:val="32"/>
          <w:szCs w:val="32"/>
          <w:lang w:val="en-US" w:eastAsia="zh-CN"/>
        </w:rPr>
        <w:t>-2024</w:t>
      </w:r>
      <w:r>
        <w:rPr>
          <w:rFonts w:hint="eastAsia" w:ascii="方正仿宋_GB2312" w:hAnsi="方正仿宋_GB2312" w:eastAsia="方正仿宋_GB2312" w:cs="方正仿宋_GB2312"/>
          <w:sz w:val="32"/>
          <w:szCs w:val="32"/>
        </w:rPr>
        <w:t xml:space="preserve"> 钢筋混凝土用钢 第2部分：热轧带肋钢筋</w:t>
      </w:r>
    </w:p>
    <w:p>
      <w:pPr>
        <w:keepNext w:val="0"/>
        <w:keepLines w:val="0"/>
        <w:pageBreakBefore w:val="0"/>
        <w:widowControl w:val="0"/>
        <w:kinsoku/>
        <w:wordWrap/>
        <w:overflowPunct/>
        <w:topLinePunct w:val="0"/>
        <w:autoSpaceDE/>
        <w:bidi w:val="0"/>
        <w:snapToGrid w:val="0"/>
        <w:spacing w:line="240" w:lineRule="auto"/>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现行有效的企业标准、团体标准、地方标准及产品明示质量要求。</w:t>
      </w:r>
    </w:p>
    <w:p>
      <w:pPr>
        <w:keepNext w:val="0"/>
        <w:keepLines w:val="0"/>
        <w:pageBreakBefore w:val="0"/>
        <w:widowControl w:val="0"/>
        <w:kinsoku/>
        <w:wordWrap/>
        <w:overflowPunct/>
        <w:topLinePunct w:val="0"/>
        <w:autoSpaceDE/>
        <w:bidi w:val="0"/>
        <w:snapToGrid w:val="0"/>
        <w:spacing w:line="240" w:lineRule="auto"/>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（二）判定原则</w:t>
      </w:r>
    </w:p>
    <w:p>
      <w:pPr>
        <w:snapToGrid w:val="0"/>
        <w:spacing w:line="44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经检验，检验项目全部合格，判定为被抽查产品所检项目未发现不合格；检验项目中任一项或一项以上不合格，判定为被抽查产品不合格。</w:t>
      </w:r>
    </w:p>
    <w:p>
      <w:pPr>
        <w:snapToGrid w:val="0"/>
        <w:spacing w:line="44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若被检产品明示的质量要求高于本细则中检验项目依据的标准要求时，应按被检产品明示的质量要求判定。</w:t>
      </w:r>
    </w:p>
    <w:p>
      <w:pPr>
        <w:snapToGrid w:val="0"/>
        <w:spacing w:line="44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若被检产品明示的质量要求低于本细则中检验项目依据的强制性标准要求时，应按照强制性标准要求判定。</w:t>
      </w:r>
    </w:p>
    <w:p>
      <w:pPr>
        <w:snapToGrid w:val="0"/>
        <w:spacing w:line="44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若被检产品明示的质量要求低于或包含本细则中检验项目依据的推荐性标准要求时，应以被检产品明示的质量要求判定。</w:t>
      </w:r>
    </w:p>
    <w:p>
      <w:pPr>
        <w:snapToGrid w:val="0"/>
        <w:spacing w:line="44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若被检产品明示的质量要求缺少本细则中检验项目依据的强制性标准要求时，应按照强制性标准要求判定。</w:t>
      </w:r>
    </w:p>
    <w:p>
      <w:pPr>
        <w:snapToGrid w:val="0"/>
        <w:spacing w:line="44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若被检产品明示的质量要求缺少本细则中检验项目依据的推荐性标准要求时，该项目不参与判定。</w:t>
      </w:r>
    </w:p>
    <w:p>
      <w:pPr>
        <w:snapToGrid w:val="0"/>
        <w:spacing w:line="600" w:lineRule="exact"/>
        <w:ind w:firstLine="640" w:firstLineChars="200"/>
        <w:rPr>
          <w:rFonts w:hint="eastAsia" w:ascii="方正仿宋_GB2312" w:hAnsi="方正仿宋_GB2312" w:eastAsia="方正仿宋_GB2312" w:cs="方正仿宋_GB2312"/>
          <w:color w:val="000000"/>
          <w:sz w:val="32"/>
          <w:szCs w:val="32"/>
        </w:rPr>
      </w:pPr>
    </w:p>
    <w:p>
      <w:pPr>
        <w:rPr>
          <w:rFonts w:hint="eastAsia" w:ascii="仿宋_GB2312" w:hAnsi="仿宋_GB2312" w:eastAsia="仿宋_GB2312" w:cs="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true"/>
  <w:bordersDoNotSurroundFooter w:val="true"/>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jU4MDcyMDVmMTlhMTNkN2UzOGFjZWNiZjIwYWQ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0B6C0305"/>
    <w:rsid w:val="1218500E"/>
    <w:rsid w:val="186B2B9A"/>
    <w:rsid w:val="22B54A03"/>
    <w:rsid w:val="24A34751"/>
    <w:rsid w:val="282C019E"/>
    <w:rsid w:val="288F6410"/>
    <w:rsid w:val="2CEA0E1E"/>
    <w:rsid w:val="2DFA1297"/>
    <w:rsid w:val="339B107F"/>
    <w:rsid w:val="35C132BF"/>
    <w:rsid w:val="365A285D"/>
    <w:rsid w:val="38A256E7"/>
    <w:rsid w:val="3C315A4B"/>
    <w:rsid w:val="3C6D13A1"/>
    <w:rsid w:val="407A001C"/>
    <w:rsid w:val="46B303F3"/>
    <w:rsid w:val="4ADC62C2"/>
    <w:rsid w:val="4BF85790"/>
    <w:rsid w:val="4C1179C0"/>
    <w:rsid w:val="522D26A6"/>
    <w:rsid w:val="55BE419C"/>
    <w:rsid w:val="562F2BA3"/>
    <w:rsid w:val="56EF7207"/>
    <w:rsid w:val="590233BD"/>
    <w:rsid w:val="5B2F5C7D"/>
    <w:rsid w:val="5FD575A3"/>
    <w:rsid w:val="607D6EEC"/>
    <w:rsid w:val="61104296"/>
    <w:rsid w:val="612A5E5D"/>
    <w:rsid w:val="68B43624"/>
    <w:rsid w:val="6A9C0E67"/>
    <w:rsid w:val="6E0818B5"/>
    <w:rsid w:val="6EEE5A3B"/>
    <w:rsid w:val="6F5FAE2A"/>
    <w:rsid w:val="702B55B7"/>
    <w:rsid w:val="7906664A"/>
    <w:rsid w:val="7A5A73C0"/>
    <w:rsid w:val="7B6315DB"/>
    <w:rsid w:val="EFD738F4"/>
    <w:rsid w:val="F5FFCB8E"/>
    <w:rsid w:val="F643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jc w:val="center"/>
      <w:outlineLvl w:val="0"/>
    </w:pPr>
    <w:rPr>
      <w:rFonts w:ascii="方正小标宋简体" w:eastAsia="方正小标宋简体"/>
      <w:kern w:val="44"/>
      <w:sz w:val="3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eastAsia="宋体" w:cs="Times New Roman"/>
      <w:kern w:val="2"/>
      <w:sz w:val="32"/>
      <w:szCs w:val="21"/>
      <w:lang w:val="en-US" w:eastAsia="zh-CN" w:bidi="ar-SA"/>
    </w:rPr>
  </w:style>
  <w:style w:type="paragraph" w:styleId="4">
    <w:name w:val="Normal Indent"/>
    <w:basedOn w:val="1"/>
    <w:qFormat/>
    <w:uiPriority w:val="0"/>
    <w:pPr>
      <w:ind w:left="720"/>
    </w:pPr>
  </w:style>
  <w:style w:type="paragraph" w:styleId="5">
    <w:name w:val="footer"/>
    <w:basedOn w:val="1"/>
    <w:link w:val="10"/>
    <w:qFormat/>
    <w:uiPriority w:val="0"/>
    <w:pPr>
      <w:tabs>
        <w:tab w:val="center" w:pos="4153"/>
        <w:tab w:val="right" w:pos="8306"/>
      </w:tabs>
      <w:snapToGrid w:val="0"/>
      <w:jc w:val="left"/>
    </w:pPr>
    <w:rPr>
      <w:sz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Char"/>
    <w:basedOn w:val="9"/>
    <w:link w:val="5"/>
    <w:qFormat/>
    <w:uiPriority w:val="0"/>
    <w:rPr>
      <w:rFonts w:ascii="Times New Roman" w:hAnsi="Times New Roman" w:eastAsia="仿宋_GB2312" w:cs="Times New Roman"/>
      <w:sz w:val="18"/>
      <w:szCs w:val="24"/>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2">
    <w:name w:val="一级条标题"/>
    <w:next w:val="11"/>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3">
    <w:name w:val="二级条标题"/>
    <w:basedOn w:val="12"/>
    <w:next w:val="11"/>
    <w:qFormat/>
    <w:uiPriority w:val="0"/>
    <w:pPr>
      <w:spacing w:before="50" w:after="50"/>
      <w:outlineLvl w:val="3"/>
    </w:pPr>
  </w:style>
  <w:style w:type="paragraph" w:customStyle="1" w:styleId="14">
    <w:name w:val="列出段落2"/>
    <w:basedOn w:val="1"/>
    <w:unhideWhenUsed/>
    <w:qFormat/>
    <w:uiPriority w:val="99"/>
    <w:pPr>
      <w:ind w:firstLine="420" w:firstLineChars="200"/>
    </w:pPr>
    <w:rPr>
      <w:sz w:val="30"/>
    </w:rPr>
  </w:style>
  <w:style w:type="paragraph" w:customStyle="1" w:styleId="15">
    <w:name w:val="Table Paragraph"/>
    <w:basedOn w:val="1"/>
    <w:qFormat/>
    <w:uiPriority w:val="0"/>
    <w:pPr>
      <w:jc w:val="left"/>
    </w:pPr>
    <w:rPr>
      <w:rFonts w:ascii="Calibri" w:hAnsi="Calibri"/>
      <w:kern w:val="0"/>
      <w:sz w:val="22"/>
      <w:szCs w:val="22"/>
      <w:lang w:eastAsia="en-US"/>
    </w:rPr>
  </w:style>
  <w:style w:type="character" w:customStyle="1" w:styleId="16">
    <w:name w:val="页眉 Char"/>
    <w:basedOn w:val="9"/>
    <w:link w:val="6"/>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1770</Words>
  <Characters>2192</Characters>
  <Lines>23</Lines>
  <Paragraphs>6</Paragraphs>
  <TotalTime>34</TotalTime>
  <ScaleCrop>false</ScaleCrop>
  <LinksUpToDate>false</LinksUpToDate>
  <CharactersWithSpaces>2239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2020-07-23T09:55:00Z</dcterms:created>
  <dc:creator>zyw</dc:creator>
  <cp:lastModifiedBy>dxkj</cp:lastModifiedBy>
  <cp:lastPrinted>2026-04-15T11:02:18Z</cp:lastPrinted>
  <dcterms:modified xsi:type="dcterms:W3CDTF">2026-04-15T11:02:34Z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0E8352E2EEFD420498BEEEB0F8206C2A_13</vt:lpwstr>
  </property>
  <property fmtid="{D5CDD505-2E9C-101B-9397-08002B2CF9AE}" pid="4" name="KSOTemplateDocerSaveRecord">
    <vt:lpwstr>eyJoZGlkIjoiMDliNWMyZWYyODFhMzQ2NzdmOWYxMGJmMzM2NzMyNmMiLCJ1c2VySWQiOiI2ODIxNzc4NDUifQ==</vt:lpwstr>
  </property>
</Properties>
</file>