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b w:val="0"/>
          <w:bCs/>
          <w:spacing w:val="-16"/>
          <w:sz w:val="32"/>
          <w:szCs w:val="32"/>
          <w:lang w:val="en-US" w:eastAsia="zh-CN"/>
        </w:rPr>
      </w:pPr>
      <w:r>
        <w:rPr>
          <w:rFonts w:hint="eastAsia" w:ascii="仿宋_GB2312" w:hAnsi="仿宋_GB2312" w:cs="仿宋_GB2312"/>
          <w:b w:val="0"/>
          <w:bCs/>
          <w:spacing w:val="-16"/>
          <w:sz w:val="32"/>
          <w:szCs w:val="32"/>
          <w:lang w:eastAsia="zh-CN"/>
        </w:rPr>
        <w:t>附件</w:t>
      </w:r>
      <w:r>
        <w:rPr>
          <w:rFonts w:hint="eastAsia" w:ascii="仿宋_GB2312" w:hAnsi="仿宋_GB2312" w:cs="仿宋_GB2312"/>
          <w:b w:val="0"/>
          <w:bCs/>
          <w:spacing w:val="-16"/>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pacing w:val="-16"/>
          <w:sz w:val="44"/>
        </w:rPr>
      </w:pPr>
      <w:r>
        <w:rPr>
          <w:rFonts w:hint="eastAsia" w:ascii="方正小标宋简体" w:hAnsi="方正小标宋简体" w:eastAsia="方正小标宋简体" w:cs="方正小标宋简体"/>
          <w:b w:val="0"/>
          <w:bCs/>
          <w:spacing w:val="-16"/>
          <w:sz w:val="44"/>
          <w:lang w:eastAsia="zh-CN"/>
        </w:rPr>
        <w:t>建筑用玻璃</w:t>
      </w:r>
      <w:r>
        <w:rPr>
          <w:rFonts w:hint="eastAsia" w:ascii="方正小标宋简体" w:hAnsi="方正小标宋简体" w:eastAsia="方正小标宋简体" w:cs="方正小标宋简体"/>
          <w:b w:val="0"/>
          <w:bCs/>
          <w:spacing w:val="-16"/>
          <w:sz w:val="44"/>
        </w:rPr>
        <w:t>产品质量监督</w:t>
      </w:r>
      <w:r>
        <w:rPr>
          <w:rFonts w:hint="eastAsia" w:ascii="方正小标宋简体" w:hAnsi="方正小标宋简体" w:eastAsia="方正小标宋简体" w:cs="方正小标宋简体"/>
          <w:b w:val="0"/>
          <w:bCs/>
          <w:spacing w:val="-16"/>
          <w:sz w:val="44"/>
          <w:lang w:eastAsia="zh-CN"/>
        </w:rPr>
        <w:t>抽查实施</w:t>
      </w:r>
      <w:r>
        <w:rPr>
          <w:rFonts w:hint="eastAsia" w:ascii="方正小标宋简体" w:hAnsi="方正小标宋简体" w:eastAsia="方正小标宋简体" w:cs="方正小标宋简体"/>
          <w:b w:val="0"/>
          <w:bCs/>
          <w:spacing w:val="-16"/>
          <w:sz w:val="44"/>
        </w:rPr>
        <w:t>细则</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eastAsia="方正小标宋简体" w:cs="方正小标宋简体"/>
          <w:sz w:val="44"/>
          <w:szCs w:val="44"/>
          <w:lang w:eastAsia="zh-CN"/>
        </w:rPr>
      </w:pPr>
      <w:r>
        <w:rPr>
          <w:rFonts w:hint="eastAsia" w:eastAsia="方正小标宋简体" w:cs="方正小标宋简体"/>
          <w:sz w:val="44"/>
          <w:szCs w:val="44"/>
          <w:lang w:eastAsia="zh-CN"/>
        </w:rPr>
        <w:t>（</w:t>
      </w:r>
      <w:r>
        <w:rPr>
          <w:rFonts w:hint="eastAsia" w:eastAsia="方正小标宋简体" w:cs="方正小标宋简体"/>
          <w:sz w:val="44"/>
          <w:szCs w:val="44"/>
          <w:lang w:val="en-US" w:eastAsia="zh-CN"/>
        </w:rPr>
        <w:t>2026版</w:t>
      </w:r>
      <w:r>
        <w:rPr>
          <w:rFonts w:hint="eastAsia" w:eastAsia="方正小标宋简体" w:cs="方正小标宋简体"/>
          <w:sz w:val="44"/>
          <w:szCs w:val="44"/>
          <w:lang w:eastAsia="zh-CN"/>
        </w:rPr>
        <w:t>）</w:t>
      </w:r>
    </w:p>
    <w:p>
      <w:pPr>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一、抽样方法</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r>
        <w:rPr>
          <w:rFonts w:hint="eastAsia" w:ascii="仿宋_GB2312" w:hAnsi="仿宋_GB2312" w:cs="仿宋_GB2312"/>
          <w:kern w:val="0"/>
          <w:sz w:val="32"/>
          <w:szCs w:val="32"/>
          <w:lang w:eastAsia="zh-CN"/>
        </w:rPr>
        <w:t>样品</w:t>
      </w:r>
      <w:r>
        <w:rPr>
          <w:rFonts w:hint="eastAsia" w:ascii="仿宋_GB2312" w:hAnsi="仿宋_GB2312" w:eastAsia="仿宋_GB2312" w:cs="仿宋_GB2312"/>
          <w:kern w:val="0"/>
          <w:sz w:val="32"/>
          <w:szCs w:val="32"/>
        </w:rPr>
        <w:t>。</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抽查数量：每款产品抽取2组样本，第1组用于检验，第2组用于备样。备用样品封存于</w:t>
      </w:r>
      <w:r>
        <w:rPr>
          <w:rFonts w:hint="eastAsia" w:ascii="仿宋_GB2312" w:hAnsi="仿宋_GB2312" w:eastAsia="仿宋_GB2312" w:cs="仿宋_GB2312"/>
          <w:kern w:val="0"/>
          <w:sz w:val="32"/>
          <w:szCs w:val="32"/>
          <w:lang w:eastAsia="zh-CN"/>
        </w:rPr>
        <w:t>被抽查</w:t>
      </w:r>
      <w:r>
        <w:rPr>
          <w:rFonts w:hint="eastAsia" w:ascii="仿宋_GB2312" w:hAnsi="仿宋_GB2312" w:eastAsia="仿宋_GB2312" w:cs="仿宋_GB2312"/>
          <w:kern w:val="0"/>
          <w:sz w:val="32"/>
          <w:szCs w:val="32"/>
        </w:rPr>
        <w:t>单位。</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二、检验依据</w:t>
      </w:r>
    </w:p>
    <w:p>
      <w:pPr>
        <w:widowControl/>
        <w:spacing w:line="600" w:lineRule="exact"/>
        <w:ind w:firstLine="640" w:firstLineChars="200"/>
        <w:rPr>
          <w:rFonts w:hint="eastAsia" w:ascii="宋体" w:hAnsi="宋体" w:eastAsia="宋体" w:cs="宋体"/>
          <w:sz w:val="24"/>
          <w:szCs w:val="24"/>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建筑用钢化玻璃</w:t>
      </w:r>
    </w:p>
    <w:tbl>
      <w:tblPr>
        <w:tblStyle w:val="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544"/>
        <w:gridCol w:w="5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5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544"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108"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抗冲击性</w:t>
            </w:r>
          </w:p>
        </w:tc>
        <w:tc>
          <w:tcPr>
            <w:tcW w:w="510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15763.2</w:t>
            </w:r>
            <w:r>
              <w:rPr>
                <w:rFonts w:hint="eastAsia" w:ascii="宋体" w:hAnsi="宋体" w:eastAsia="宋体" w:cs="宋体"/>
                <w:sz w:val="24"/>
                <w:szCs w:val="24"/>
                <w:lang w:val="en-US" w:eastAsia="zh-CN"/>
              </w:rPr>
              <w:t>-2005</w:t>
            </w:r>
          </w:p>
          <w:p>
            <w:pPr>
              <w:pStyle w:val="2"/>
              <w:rPr>
                <w:rFonts w:hint="default"/>
                <w:lang w:val="en-US" w:eastAsia="zh-CN"/>
              </w:rPr>
            </w:pPr>
            <w:r>
              <w:rPr>
                <w:rFonts w:hint="eastAsia" w:ascii="宋体" w:hAnsi="宋体" w:eastAsia="宋体" w:cs="宋体"/>
                <w:sz w:val="24"/>
                <w:szCs w:val="24"/>
              </w:rPr>
              <w:t>GB</w:t>
            </w:r>
            <w:r>
              <w:rPr>
                <w:rFonts w:hint="eastAsia" w:ascii="宋体" w:hAnsi="宋体" w:eastAsia="宋体" w:cs="宋体"/>
                <w:sz w:val="24"/>
                <w:szCs w:val="24"/>
                <w:lang w:val="en-US" w:eastAsia="zh-CN"/>
              </w:rPr>
              <w:t>/T</w:t>
            </w:r>
            <w:r>
              <w:rPr>
                <w:rFonts w:hint="eastAsia" w:ascii="宋体" w:hAnsi="宋体" w:eastAsia="宋体" w:cs="宋体"/>
                <w:sz w:val="24"/>
                <w:szCs w:val="24"/>
              </w:rPr>
              <w:t xml:space="preserve"> 15763.2</w:t>
            </w:r>
            <w:r>
              <w:rPr>
                <w:rFonts w:hint="eastAsia" w:ascii="宋体" w:hAnsi="宋体" w:eastAsia="宋体" w:cs="宋体"/>
                <w:sz w:val="24"/>
                <w:szCs w:val="24"/>
                <w:lang w:val="en-US" w:eastAsia="zh-CN"/>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碎片状态</w:t>
            </w:r>
          </w:p>
        </w:tc>
        <w:tc>
          <w:tcPr>
            <w:tcW w:w="510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霰弹袋冲击性能</w:t>
            </w:r>
          </w:p>
        </w:tc>
        <w:tc>
          <w:tcPr>
            <w:tcW w:w="510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表面应力</w:t>
            </w:r>
          </w:p>
        </w:tc>
        <w:tc>
          <w:tcPr>
            <w:tcW w:w="5108"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p>
        </w:tc>
      </w:tr>
    </w:tbl>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平板玻璃</w:t>
      </w:r>
    </w:p>
    <w:tbl>
      <w:tblPr>
        <w:tblStyle w:val="5"/>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566"/>
        <w:gridCol w:w="5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566"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048"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厚度偏差</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GB 11614</w:t>
            </w:r>
            <w:r>
              <w:rPr>
                <w:rFonts w:hint="eastAsia" w:ascii="宋体" w:hAnsi="宋体" w:eastAsia="宋体" w:cs="宋体"/>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厚薄差</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11614</w:t>
            </w:r>
            <w:r>
              <w:rPr>
                <w:rFonts w:hint="eastAsia" w:ascii="宋体" w:hAnsi="宋体" w:eastAsia="宋体" w:cs="宋体"/>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点状缺陷</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11614</w:t>
            </w:r>
            <w:r>
              <w:rPr>
                <w:rFonts w:hint="eastAsia" w:ascii="宋体" w:hAnsi="宋体" w:eastAsia="宋体" w:cs="宋体"/>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点状缺陷密集度</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11614</w:t>
            </w:r>
            <w:r>
              <w:rPr>
                <w:rFonts w:hint="eastAsia" w:ascii="宋体" w:hAnsi="宋体" w:eastAsia="宋体" w:cs="宋体"/>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线道</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r>
              <w:rPr>
                <w:rFonts w:hint="eastAsia" w:ascii="宋体" w:hAnsi="宋体" w:eastAsia="宋体" w:cs="宋体"/>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裂纹</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r>
              <w:rPr>
                <w:rFonts w:hint="eastAsia" w:ascii="宋体" w:hAnsi="宋体" w:eastAsia="宋体" w:cs="宋体"/>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光学变形</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r>
              <w:rPr>
                <w:rFonts w:hint="eastAsia" w:ascii="宋体" w:hAnsi="宋体" w:eastAsia="宋体" w:cs="宋体"/>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弯曲度</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r>
              <w:rPr>
                <w:rFonts w:hint="eastAsia" w:ascii="宋体" w:hAnsi="宋体" w:eastAsia="宋体" w:cs="宋体"/>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restart"/>
            <w:tcBorders>
              <w:top w:val="single" w:color="auto" w:sz="4" w:space="0"/>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无色透明平板玻璃可见光透射比</w:t>
            </w:r>
            <w:r>
              <w:rPr>
                <w:rFonts w:hint="eastAsia" w:ascii="宋体" w:hAnsi="宋体" w:eastAsia="宋体" w:cs="宋体"/>
                <w:sz w:val="24"/>
                <w:szCs w:val="24"/>
                <w:vertAlign w:val="superscript"/>
              </w:rPr>
              <w:t>a</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r>
              <w:rPr>
                <w:rFonts w:hint="eastAsia" w:ascii="宋体" w:hAnsi="宋体" w:eastAsia="宋体" w:cs="宋体"/>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tcBorders>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ascii="宋体" w:hAnsi="宋体" w:eastAsia="宋体" w:cs="宋体"/>
                <w:sz w:val="24"/>
                <w:szCs w:val="24"/>
              </w:rPr>
            </w:pP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本体着色平板玻璃透射比偏差</w:t>
            </w:r>
            <w:r>
              <w:rPr>
                <w:rFonts w:hint="eastAsia" w:ascii="宋体" w:hAnsi="宋体" w:eastAsia="宋体" w:cs="宋体"/>
                <w:sz w:val="24"/>
                <w:szCs w:val="24"/>
                <w:vertAlign w:val="superscript"/>
              </w:rPr>
              <w:t>b</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r>
              <w:rPr>
                <w:rFonts w:hint="eastAsia" w:ascii="宋体" w:hAnsi="宋体" w:eastAsia="宋体" w:cs="宋体"/>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tcBorders>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ascii="宋体" w:hAnsi="宋体" w:eastAsia="宋体" w:cs="宋体"/>
                <w:sz w:val="24"/>
                <w:szCs w:val="24"/>
              </w:rPr>
            </w:pP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本体着色平板玻璃颜色均匀性</w:t>
            </w:r>
            <w:r>
              <w:rPr>
                <w:rFonts w:hint="eastAsia" w:ascii="宋体" w:hAnsi="宋体" w:eastAsia="宋体" w:cs="宋体"/>
                <w:sz w:val="24"/>
                <w:szCs w:val="24"/>
                <w:vertAlign w:val="superscript"/>
              </w:rPr>
              <w:t>b</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r>
              <w:rPr>
                <w:rFonts w:hint="eastAsia" w:ascii="宋体" w:hAnsi="宋体" w:eastAsia="宋体" w:cs="宋体"/>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26" w:type="dxa"/>
            <w:gridSpan w:val="3"/>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rPr>
            </w:pPr>
            <w:r>
              <w:rPr>
                <w:rFonts w:hint="eastAsia" w:ascii="宋体" w:hAnsi="宋体" w:eastAsia="宋体" w:cs="宋体"/>
                <w:sz w:val="24"/>
                <w:szCs w:val="24"/>
                <w:vertAlign w:val="superscript"/>
              </w:rPr>
              <w:t>a</w:t>
            </w:r>
            <w:r>
              <w:rPr>
                <w:rFonts w:hint="eastAsia" w:ascii="宋体" w:hAnsi="宋体" w:eastAsia="宋体" w:cs="宋体"/>
                <w:sz w:val="24"/>
                <w:szCs w:val="24"/>
              </w:rPr>
              <w:t>只对无色透明平板玻璃</w:t>
            </w:r>
          </w:p>
          <w:p>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vertAlign w:val="superscript"/>
              </w:rPr>
              <w:t>b</w:t>
            </w:r>
            <w:r>
              <w:rPr>
                <w:rFonts w:hint="eastAsia" w:ascii="宋体" w:hAnsi="宋体" w:eastAsia="宋体" w:cs="宋体"/>
                <w:sz w:val="24"/>
                <w:szCs w:val="24"/>
              </w:rPr>
              <w:t>只对本体作色平板玻璃</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3.建筑用夹层玻璃</w:t>
      </w:r>
    </w:p>
    <w:tbl>
      <w:tblPr>
        <w:tblStyle w:val="5"/>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587"/>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78"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587"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12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厚度偏差</w:t>
            </w:r>
            <w:r>
              <w:rPr>
                <w:rFonts w:hint="eastAsia" w:ascii="宋体" w:hAnsi="宋体" w:eastAsia="宋体" w:cs="宋体"/>
                <w:sz w:val="24"/>
                <w:szCs w:val="24"/>
                <w:vertAlign w:val="superscript"/>
              </w:rPr>
              <w:t>a</w:t>
            </w:r>
          </w:p>
        </w:tc>
        <w:tc>
          <w:tcPr>
            <w:tcW w:w="512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15763.3</w:t>
            </w:r>
            <w:r>
              <w:rPr>
                <w:rFonts w:hint="eastAsia" w:ascii="宋体" w:hAnsi="宋体" w:eastAsia="宋体" w:cs="宋体"/>
                <w:sz w:val="24"/>
                <w:szCs w:val="24"/>
                <w:lang w:val="en-US" w:eastAsia="zh-CN"/>
              </w:rPr>
              <w:t>-2009</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w:t>
            </w:r>
            <w:r>
              <w:rPr>
                <w:rFonts w:hint="eastAsia" w:ascii="宋体" w:hAnsi="宋体" w:eastAsia="宋体" w:cs="宋体"/>
                <w:sz w:val="24"/>
                <w:szCs w:val="24"/>
                <w:lang w:val="en-US" w:eastAsia="zh-CN"/>
              </w:rPr>
              <w:t>/T</w:t>
            </w:r>
            <w:r>
              <w:rPr>
                <w:rFonts w:hint="eastAsia" w:ascii="宋体" w:hAnsi="宋体" w:eastAsia="宋体" w:cs="宋体"/>
                <w:sz w:val="24"/>
                <w:szCs w:val="24"/>
              </w:rPr>
              <w:t xml:space="preserve"> 15763.3</w:t>
            </w:r>
            <w:r>
              <w:rPr>
                <w:rFonts w:hint="eastAsia" w:ascii="宋体" w:hAnsi="宋体" w:eastAsia="宋体" w:cs="宋体"/>
                <w:sz w:val="24"/>
                <w:szCs w:val="24"/>
                <w:lang w:val="en-US" w:eastAsia="zh-CN"/>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耐热性</w:t>
            </w:r>
          </w:p>
        </w:tc>
        <w:tc>
          <w:tcPr>
            <w:tcW w:w="512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耐湿性</w:t>
            </w:r>
          </w:p>
        </w:tc>
        <w:tc>
          <w:tcPr>
            <w:tcW w:w="512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耐辐照性</w:t>
            </w:r>
          </w:p>
        </w:tc>
        <w:tc>
          <w:tcPr>
            <w:tcW w:w="512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落球冲击玻璃性能</w:t>
            </w:r>
          </w:p>
        </w:tc>
        <w:tc>
          <w:tcPr>
            <w:tcW w:w="512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霰弹袋冲击性能</w:t>
            </w:r>
          </w:p>
        </w:tc>
        <w:tc>
          <w:tcPr>
            <w:tcW w:w="512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8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vertAlign w:val="superscript"/>
              </w:rPr>
              <w:t>a</w:t>
            </w:r>
            <w:r>
              <w:rPr>
                <w:rFonts w:hint="eastAsia" w:ascii="宋体" w:hAnsi="宋体" w:eastAsia="宋体" w:cs="宋体"/>
                <w:sz w:val="24"/>
                <w:szCs w:val="24"/>
              </w:rPr>
              <w:t>只对建筑用普通夹层玻璃</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4.中空玻璃</w:t>
      </w:r>
    </w:p>
    <w:tbl>
      <w:tblPr>
        <w:tblStyle w:val="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696"/>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48"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696"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087"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尺寸偏差</w:t>
            </w:r>
          </w:p>
        </w:tc>
        <w:tc>
          <w:tcPr>
            <w:tcW w:w="508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GB/T 11944</w:t>
            </w:r>
            <w:r>
              <w:rPr>
                <w:rFonts w:hint="eastAsia" w:ascii="宋体" w:hAnsi="宋体" w:eastAsia="宋体" w:cs="宋体"/>
                <w:sz w:val="24"/>
                <w:szCs w:val="24"/>
                <w:lang w:val="en-US" w:eastAsia="zh-CN"/>
              </w:rPr>
              <w:t>-2012</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GB/T 11944</w:t>
            </w:r>
            <w:r>
              <w:rPr>
                <w:rFonts w:hint="eastAsia" w:ascii="宋体" w:hAnsi="宋体" w:eastAsia="宋体" w:cs="宋体"/>
                <w:sz w:val="24"/>
                <w:szCs w:val="24"/>
                <w:lang w:val="en-US" w:eastAsia="zh-CN"/>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露点</w:t>
            </w:r>
          </w:p>
        </w:tc>
        <w:tc>
          <w:tcPr>
            <w:tcW w:w="508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耐紫外线辐照性能</w:t>
            </w:r>
          </w:p>
        </w:tc>
        <w:tc>
          <w:tcPr>
            <w:tcW w:w="508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初始气体含量</w:t>
            </w:r>
            <w:r>
              <w:rPr>
                <w:rFonts w:hint="eastAsia" w:ascii="宋体" w:hAnsi="宋体" w:eastAsia="宋体" w:cs="宋体"/>
                <w:sz w:val="24"/>
                <w:szCs w:val="24"/>
                <w:vertAlign w:val="superscript"/>
              </w:rPr>
              <w:t>a</w:t>
            </w:r>
          </w:p>
        </w:tc>
        <w:tc>
          <w:tcPr>
            <w:tcW w:w="5087"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vertAlign w:val="superscript"/>
              </w:rPr>
              <w:t>a</w:t>
            </w:r>
            <w:r>
              <w:rPr>
                <w:rFonts w:hint="eastAsia" w:ascii="宋体" w:hAnsi="宋体" w:eastAsia="宋体" w:cs="宋体"/>
                <w:sz w:val="24"/>
                <w:szCs w:val="24"/>
              </w:rPr>
              <w:t>只对充气中空玻璃</w:t>
            </w:r>
          </w:p>
        </w:tc>
      </w:tr>
    </w:tbl>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w:t>
      </w:r>
      <w:r>
        <w:rPr>
          <w:rFonts w:hint="eastAsia" w:ascii="仿宋_GB2312" w:hAnsi="仿宋_GB2312" w:cs="仿宋_GB2312"/>
          <w:kern w:val="0"/>
          <w:sz w:val="32"/>
          <w:szCs w:val="32"/>
          <w:lang w:eastAsia="zh-CN"/>
        </w:rPr>
        <w:t>明</w:t>
      </w:r>
      <w:r>
        <w:rPr>
          <w:rFonts w:hint="eastAsia" w:ascii="仿宋_GB2312" w:hAnsi="仿宋_GB2312" w:eastAsia="仿宋_GB2312" w:cs="仿宋_GB2312"/>
          <w:kern w:val="0"/>
          <w:sz w:val="32"/>
          <w:szCs w:val="32"/>
          <w:lang w:eastAsia="zh-CN"/>
        </w:rPr>
        <w:t>日期的文件，其随后所有的修改单（不包括勘误的内容）或修订版不适用于本细则。凡是不注</w:t>
      </w:r>
      <w:r>
        <w:rPr>
          <w:rFonts w:hint="eastAsia" w:ascii="仿宋_GB2312" w:hAnsi="仿宋_GB2312" w:cs="仿宋_GB2312"/>
          <w:kern w:val="0"/>
          <w:sz w:val="32"/>
          <w:szCs w:val="32"/>
          <w:lang w:eastAsia="zh-CN"/>
        </w:rPr>
        <w:t>明</w:t>
      </w:r>
      <w:r>
        <w:rPr>
          <w:rFonts w:hint="eastAsia" w:ascii="仿宋_GB2312" w:hAnsi="仿宋_GB2312" w:eastAsia="仿宋_GB2312" w:cs="仿宋_GB2312"/>
          <w:kern w:val="0"/>
          <w:sz w:val="32"/>
          <w:szCs w:val="32"/>
          <w:lang w:eastAsia="zh-CN"/>
        </w:rPr>
        <w:t>日期的文件，其最新版本适用于本细则。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判定规则</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GB 11614-20</w:t>
      </w:r>
      <w:r>
        <w:rPr>
          <w:rFonts w:hint="eastAsia" w:ascii="仿宋_GB2312" w:hAnsi="仿宋_GB2312" w:cs="仿宋_GB2312"/>
          <w:kern w:val="0"/>
          <w:sz w:val="32"/>
          <w:szCs w:val="32"/>
          <w:lang w:val="en-US" w:eastAsia="zh-CN"/>
        </w:rPr>
        <w:t>22</w:t>
      </w:r>
      <w:r>
        <w:rPr>
          <w:rFonts w:hint="eastAsia" w:ascii="仿宋_GB2312" w:hAnsi="仿宋_GB2312" w:eastAsia="仿宋_GB2312" w:cs="仿宋_GB2312"/>
          <w:kern w:val="0"/>
          <w:sz w:val="32"/>
          <w:szCs w:val="32"/>
        </w:rPr>
        <w:t>《平板玻璃》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GB 15763.2-2005 《建筑用安全玻璃 第2部分：钢化玻璃》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GB 15763.3-2009《建筑用安全玻璃 第3部分：夹层玻璃》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GB/T 11944-2012《中空玻璃》</w:t>
      </w:r>
    </w:p>
    <w:p>
      <w:pPr>
        <w:pStyle w:val="2"/>
        <w:ind w:firstLine="6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GB/T 11944-20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《中空玻璃》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val="en-US" w:eastAsia="zh-CN"/>
        </w:rPr>
        <w:t>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GB/T 15763.2-20</w:t>
      </w:r>
      <w:r>
        <w:rPr>
          <w:rFonts w:hint="eastAsia" w:ascii="仿宋_GB2312" w:hAnsi="仿宋_GB2312" w:cs="仿宋_GB2312"/>
          <w:kern w:val="0"/>
          <w:sz w:val="32"/>
          <w:szCs w:val="32"/>
          <w:lang w:val="en-US" w:eastAsia="zh-CN"/>
        </w:rPr>
        <w:t>2</w:t>
      </w:r>
      <w:r>
        <w:rPr>
          <w:rFonts w:hint="eastAsia" w:ascii="仿宋_GB2312" w:hAnsi="仿宋_GB2312" w:eastAsia="仿宋_GB2312" w:cs="仿宋_GB2312"/>
          <w:kern w:val="0"/>
          <w:sz w:val="32"/>
          <w:szCs w:val="32"/>
        </w:rPr>
        <w:t>5 《建筑用安全玻璃 第2部分：钢化玻璃》</w:t>
      </w:r>
    </w:p>
    <w:p>
      <w:pPr>
        <w:ind w:firstLine="640"/>
        <w:rPr>
          <w:rFonts w:hint="default"/>
          <w:lang w:val="en-US" w:eastAsia="zh-CN"/>
        </w:rPr>
      </w:pPr>
      <w:r>
        <w:rPr>
          <w:rFonts w:hint="eastAsia" w:ascii="仿宋_GB2312" w:hAnsi="仿宋_GB2312" w:cs="仿宋_GB2312"/>
          <w:kern w:val="0"/>
          <w:sz w:val="32"/>
          <w:szCs w:val="32"/>
          <w:lang w:val="en-US" w:eastAsia="zh-CN"/>
        </w:rPr>
        <w:t>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GB/T 15763.3-20</w:t>
      </w:r>
      <w:r>
        <w:rPr>
          <w:rFonts w:hint="eastAsia" w:ascii="仿宋_GB2312" w:hAnsi="仿宋_GB2312" w:cs="仿宋_GB2312"/>
          <w:kern w:val="0"/>
          <w:sz w:val="32"/>
          <w:szCs w:val="32"/>
          <w:lang w:val="en-US" w:eastAsia="zh-CN"/>
        </w:rPr>
        <w:t>25</w:t>
      </w:r>
      <w:r>
        <w:rPr>
          <w:rFonts w:hint="eastAsia" w:ascii="仿宋_GB2312" w:hAnsi="仿宋_GB2312" w:eastAsia="仿宋_GB2312" w:cs="仿宋_GB2312"/>
          <w:kern w:val="0"/>
          <w:sz w:val="32"/>
          <w:szCs w:val="32"/>
        </w:rPr>
        <w:t>《建筑用安全玻璃 第3部分：夹层玻璃》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现行有效的企业标准、团体标准、地方标准及产品明示质量要求。</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四、</w:t>
      </w:r>
      <w:r>
        <w:rPr>
          <w:rFonts w:hint="eastAsia" w:ascii="仿宋_GB2312" w:hAnsi="仿宋_GB2312" w:eastAsia="仿宋_GB2312" w:cs="仿宋_GB2312"/>
          <w:kern w:val="0"/>
          <w:sz w:val="32"/>
          <w:szCs w:val="32"/>
        </w:rPr>
        <w:t>判定原则</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一般原则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建筑用钢化玻璃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抗冲击性检验结果判定：6块样品进行试验，样品破坏数不超过1块判定为该项合格；多于或等于3块判定为该项不合格；破坏数为2块时，再追加6块抽检样品进行试验，6块全部不破坏判定为该项合格，否则判定为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碎片状态检验结果判定：4块样品进行试验，4块样品均符合规定，判定为该项合格，否则判定为该项不合格。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霰弹袋冲击性能检验结果判定：4块样品进行试验，4块样品均符合规定，判定为该项合格，否则判定为该项不合格。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面应力检验结果判断：3块样品进行试验，3块样品全部符合规定则判定该项合格，2块样品不符合则判定该项不合格，当1块样品不符合时，再追加3块样品检验，如果3块样品全部符合规定则判定该项合格，否则判定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综合判定：经检验，检验项目全部合格，判定为被抽查产品合格；检验项目中任一项或一项以上不合格，判定为被抽查产品不合格。其中，当产品存在重要项目不合格时，属于严重不合格。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cs="仿宋_GB2312"/>
          <w:kern w:val="0"/>
          <w:sz w:val="32"/>
          <w:szCs w:val="32"/>
          <w:lang w:val="en-US" w:eastAsia="zh-CN"/>
        </w:rPr>
        <w:t>3</w:t>
      </w:r>
      <w:r>
        <w:rPr>
          <w:rFonts w:hint="eastAsia" w:ascii="仿宋_GB2312" w:hAnsi="仿宋_GB2312" w:eastAsia="仿宋_GB2312" w:cs="仿宋_GB2312"/>
          <w:kern w:val="0"/>
          <w:sz w:val="32"/>
          <w:szCs w:val="32"/>
        </w:rPr>
        <w:t>平板玻璃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厚度偏差、厚薄差、点状缺陷、点状缺陷密集度、线道、裂纹、光学变形、弯曲度进行检验时，一片玻璃其检验结果的上述指标均达到该等级的要求则该片玻璃为上述指标合格，否则为不合格。样品数量为20片时，若不合格片数小于或等于3片，则被抽查产品上述指标合格；若不合格数等于或大于4片，则被抽查产品上述指标不合格；样品未经检验发生破损，若碎片数量不多于7片，则从未破碎的样品中按顺序号取13片检验并判定。样品数量为13片时，若不合格片数小于或等于2片，则被抽查产品上述指标合格；若不合格数等于或大于3片，则被抽查产品上述指标不合格.不合格的上述指标是指上述指标其中之一或其组合。</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对无色透明平板玻璃可见光透射比进行检验时，若检验结果符合GB 11614的规定，则判定被抽查产品该项指标合格。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对本体着色平板玻璃的透射比偏差进行检验时，若检验结果符合GB 11614的规定，则判定被抽查产品该项指标合格。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对本体着色平板玻璃颜色均匀性进行检验时，若检验结果符合GB 11614的规定，则判定被抽查产品该项指标合格。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综合判定：经检验，检验项目全部合格，判定为被抽查产品合格；检验项目中任一项或一项以上不合格，判定为被抽查产品不合格。其中，当产品存在重要项目不合格时，属于严重不合格。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cs="仿宋_GB2312"/>
          <w:kern w:val="0"/>
          <w:sz w:val="32"/>
          <w:szCs w:val="32"/>
          <w:lang w:val="en-US" w:eastAsia="zh-CN"/>
        </w:rPr>
        <w:t>4</w:t>
      </w:r>
      <w:r>
        <w:rPr>
          <w:rFonts w:hint="eastAsia" w:ascii="仿宋_GB2312" w:hAnsi="仿宋_GB2312" w:eastAsia="仿宋_GB2312" w:cs="仿宋_GB2312"/>
          <w:kern w:val="0"/>
          <w:sz w:val="32"/>
          <w:szCs w:val="32"/>
        </w:rPr>
        <w:t>夹层玻璃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耐热性、耐湿性、耐辐照性检验结果判定：3块试样全部符合要求时为合格，1块符合时为不合格。当2块试样符合要求时，追加3片新试样重新进行试验，3块全部符合要求时为合格。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落球冲击剥离性能检验结果判断：5块或5块以上试样符合时为合格，3块或3块以下符合时为不合格。当4块试样符合时，追加6块试样重新进行试验，6块试样全部符合时为合格。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霰弹袋冲击性能检验结果判定：4块试样均应未破坏和/或安全破坏，判定为该项合格，否则判定为该项不合格。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厚度偏差检验结果判定：3块试样全部符合要求，判定为该项合格，否则判定为该项不合格。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综合判定：经检验，检验项目全部合格，判定为被抽查产品合格；检验项目中任一项或一项以上不合格，判定为被抽查产品不合格。其中，当产品存在重要项目不合格时，属于严重不合格。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cs="仿宋_GB2312"/>
          <w:kern w:val="0"/>
          <w:sz w:val="32"/>
          <w:szCs w:val="32"/>
          <w:lang w:val="en-US" w:eastAsia="zh-CN"/>
        </w:rPr>
        <w:t>5</w:t>
      </w:r>
      <w:r>
        <w:rPr>
          <w:rFonts w:hint="eastAsia" w:ascii="仿宋_GB2312" w:hAnsi="仿宋_GB2312" w:eastAsia="仿宋_GB2312" w:cs="仿宋_GB2312"/>
          <w:kern w:val="0"/>
          <w:sz w:val="32"/>
          <w:szCs w:val="32"/>
        </w:rPr>
        <w:t>中空玻璃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尺寸偏差：检验20块试样中，若不合格片数小于或等于3块，则该批次中空玻璃尺寸偏差指标合格；若不合格块数等于或大于4块，则该批次中空玻璃尺寸偏差指标不合格。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露点：取15块试样进行露点检测，全部合格该项性能合格。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耐紫外线辐照：取2块试样进行耐紫外线辐照试验，2块试样均合格该项性能合格。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初始气体含量：取3块试样进行初始气体含量试验，3块试样均合格该项性能合格。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综合判定：检验项目全部合格，判定为被抽查产品合格；检验项目中任一项或一项以上不合格，判定为被抽查产品不合格。</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2.其</w:t>
      </w:r>
      <w:bookmarkStart w:id="0" w:name="_GoBack"/>
      <w:r>
        <w:rPr>
          <w:rFonts w:hint="eastAsia" w:ascii="仿宋_GB2312" w:hAnsi="仿宋_GB2312" w:eastAsia="仿宋_GB2312" w:cs="仿宋_GB2312"/>
          <w:kern w:val="0"/>
          <w:sz w:val="32"/>
          <w:szCs w:val="32"/>
          <w:lang w:val="en-US" w:eastAsia="zh-CN"/>
        </w:rPr>
        <w:t>它</w:t>
      </w:r>
      <w:bookmarkEnd w:id="0"/>
      <w:r>
        <w:rPr>
          <w:rFonts w:hint="eastAsia" w:ascii="仿宋_GB2312" w:hAnsi="仿宋_GB2312" w:eastAsia="仿宋_GB2312" w:cs="仿宋_GB2312"/>
          <w:kern w:val="0"/>
          <w:sz w:val="32"/>
          <w:szCs w:val="32"/>
          <w:lang w:val="en-US" w:eastAsia="zh-CN"/>
        </w:rPr>
        <w:t>原则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snapToGrid w:val="0"/>
        <w:spacing w:line="600" w:lineRule="exact"/>
        <w:ind w:firstLine="640" w:firstLineChars="200"/>
        <w:rPr>
          <w:rFonts w:hint="eastAsia" w:ascii="仿宋_GB2312" w:hAnsi="仿宋_GB2312" w:eastAsia="仿宋_GB2312" w:cs="仿宋_GB2312"/>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WMyZWYyODFhMzQ2NzdmOWYxMGJmMzM2NzMyNm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3AF4D89"/>
    <w:rsid w:val="08731931"/>
    <w:rsid w:val="0EA01646"/>
    <w:rsid w:val="186B2B9A"/>
    <w:rsid w:val="18A90963"/>
    <w:rsid w:val="1A5C2A1A"/>
    <w:rsid w:val="1D0C50A7"/>
    <w:rsid w:val="24A34751"/>
    <w:rsid w:val="27050DF0"/>
    <w:rsid w:val="282C019E"/>
    <w:rsid w:val="288F6410"/>
    <w:rsid w:val="2F357489"/>
    <w:rsid w:val="38A256E7"/>
    <w:rsid w:val="3B5F0002"/>
    <w:rsid w:val="3C315A4B"/>
    <w:rsid w:val="43165556"/>
    <w:rsid w:val="46B303F3"/>
    <w:rsid w:val="4ADC62C2"/>
    <w:rsid w:val="4B2A403B"/>
    <w:rsid w:val="4BF85790"/>
    <w:rsid w:val="50982C04"/>
    <w:rsid w:val="51AE4988"/>
    <w:rsid w:val="522D26A6"/>
    <w:rsid w:val="54FDDFD9"/>
    <w:rsid w:val="562F2BA3"/>
    <w:rsid w:val="590233BD"/>
    <w:rsid w:val="59357A83"/>
    <w:rsid w:val="5B6E5596"/>
    <w:rsid w:val="61104296"/>
    <w:rsid w:val="62E73AEA"/>
    <w:rsid w:val="6A9C0E67"/>
    <w:rsid w:val="6EEE5A3B"/>
    <w:rsid w:val="6FFDF1B9"/>
    <w:rsid w:val="70B1249C"/>
    <w:rsid w:val="73737B26"/>
    <w:rsid w:val="779DDC71"/>
    <w:rsid w:val="7906664A"/>
    <w:rsid w:val="7B6315DB"/>
    <w:rsid w:val="7CE24EFB"/>
    <w:rsid w:val="FEFE3F98"/>
    <w:rsid w:val="FF9FE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2458</Words>
  <Characters>2715</Characters>
  <Lines>23</Lines>
  <Paragraphs>6</Paragraphs>
  <TotalTime>47</TotalTime>
  <ScaleCrop>false</ScaleCrop>
  <LinksUpToDate>false</LinksUpToDate>
  <CharactersWithSpaces>2750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2020-07-23T09:55:00Z</dcterms:created>
  <dc:creator>zyw</dc:creator>
  <cp:lastModifiedBy>dxkj</cp:lastModifiedBy>
  <cp:lastPrinted>2026-04-15T11:51:57Z</cp:lastPrinted>
  <dcterms:modified xsi:type="dcterms:W3CDTF">2026-04-15T11:51:59Z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DACD3C23104C452D8806F1FDFD2442E0_13</vt:lpwstr>
  </property>
  <property fmtid="{D5CDD505-2E9C-101B-9397-08002B2CF9AE}" pid="4" name="KSOTemplateDocerSaveRecord">
    <vt:lpwstr>eyJoZGlkIjoiMDliNWMyZWYyODFhMzQ2NzdmOWYxMGJmMzM2NzMyNmMiLCJ1c2VySWQiOiI2ODIxNzc4NDUifQ==</vt:lpwstr>
  </property>
</Properties>
</file>