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jc w:val="left"/>
        <w:textAlignment w:val="auto"/>
        <w:rPr>
          <w:rFonts w:hint="default" w:ascii="仿宋_GB2312" w:hAnsi="仿宋_GB2312" w:eastAsia="仿宋_GB2312" w:cs="仿宋_GB2312"/>
          <w:b w:val="0"/>
          <w:bCs/>
          <w:spacing w:val="-16"/>
          <w:sz w:val="32"/>
          <w:szCs w:val="32"/>
          <w:lang w:val="en-US" w:eastAsia="zh-CN"/>
        </w:rPr>
      </w:pPr>
      <w:r>
        <w:rPr>
          <w:rFonts w:hint="eastAsia" w:ascii="仿宋_GB2312" w:hAnsi="仿宋_GB2312" w:cs="仿宋_GB2312"/>
          <w:b w:val="0"/>
          <w:bCs/>
          <w:spacing w:val="-16"/>
          <w:sz w:val="32"/>
          <w:szCs w:val="32"/>
          <w:lang w:eastAsia="zh-CN"/>
        </w:rPr>
        <w:t>附件</w:t>
      </w:r>
      <w:r>
        <w:rPr>
          <w:rFonts w:hint="eastAsia" w:ascii="仿宋_GB2312" w:hAnsi="仿宋_GB2312" w:cs="仿宋_GB2312"/>
          <w:b w:val="0"/>
          <w:bCs/>
          <w:spacing w:val="-16"/>
          <w:sz w:val="32"/>
          <w:szCs w:val="32"/>
          <w:lang w:val="en-US" w:eastAsia="zh-CN"/>
        </w:rPr>
        <w:t>10</w:t>
      </w:r>
    </w:p>
    <w:p>
      <w:pPr>
        <w:keepNext w:val="0"/>
        <w:keepLines w:val="0"/>
        <w:pageBreakBefore w:val="0"/>
        <w:kinsoku/>
        <w:wordWrap/>
        <w:overflowPunct/>
        <w:topLinePunct w:val="0"/>
        <w:autoSpaceDE/>
        <w:bidi w:val="0"/>
        <w:adjustRightInd/>
        <w:snapToGrid/>
        <w:jc w:val="center"/>
        <w:textAlignment w:val="auto"/>
        <w:rPr>
          <w:rFonts w:hint="eastAsia" w:ascii="方正小标宋简体" w:hAnsi="方正小标宋简体" w:eastAsia="方正小标宋简体" w:cs="方正小标宋简体"/>
          <w:b w:val="0"/>
          <w:bCs/>
          <w:spacing w:val="-16"/>
          <w:sz w:val="44"/>
          <w:szCs w:val="44"/>
          <w:lang w:eastAsia="zh-CN"/>
        </w:rPr>
      </w:pPr>
      <w:r>
        <w:rPr>
          <w:rFonts w:hint="eastAsia" w:ascii="方正小标宋简体" w:hAnsi="方正小标宋简体" w:eastAsia="方正小标宋简体" w:cs="方正小标宋简体"/>
          <w:b w:val="0"/>
          <w:bCs/>
          <w:spacing w:val="-16"/>
          <w:sz w:val="44"/>
          <w:szCs w:val="44"/>
          <w:lang w:eastAsia="zh-CN"/>
        </w:rPr>
        <w:t>化肥</w:t>
      </w:r>
      <w:r>
        <w:rPr>
          <w:rFonts w:hint="eastAsia" w:ascii="方正小标宋简体" w:hAnsi="方正小标宋简体" w:eastAsia="方正小标宋简体" w:cs="方正小标宋简体"/>
          <w:b w:val="0"/>
          <w:bCs/>
          <w:spacing w:val="-16"/>
          <w:sz w:val="44"/>
          <w:szCs w:val="44"/>
        </w:rPr>
        <w:t>产品质量监督</w:t>
      </w:r>
      <w:r>
        <w:rPr>
          <w:rFonts w:hint="eastAsia" w:ascii="方正小标宋简体" w:hAnsi="方正小标宋简体" w:eastAsia="方正小标宋简体" w:cs="方正小标宋简体"/>
          <w:b w:val="0"/>
          <w:bCs/>
          <w:spacing w:val="-16"/>
          <w:sz w:val="44"/>
          <w:szCs w:val="44"/>
          <w:lang w:eastAsia="zh-CN"/>
        </w:rPr>
        <w:t>抽查实施</w:t>
      </w:r>
      <w:r>
        <w:rPr>
          <w:rFonts w:hint="eastAsia" w:ascii="方正小标宋简体" w:hAnsi="方正小标宋简体" w:eastAsia="方正小标宋简体" w:cs="方正小标宋简体"/>
          <w:b w:val="0"/>
          <w:bCs/>
          <w:spacing w:val="-16"/>
          <w:sz w:val="44"/>
          <w:szCs w:val="44"/>
        </w:rPr>
        <w:t>细则</w:t>
      </w:r>
      <w:r>
        <w:rPr>
          <w:rFonts w:hint="eastAsia" w:ascii="方正小标宋简体" w:hAnsi="方正小标宋简体" w:eastAsia="方正小标宋简体" w:cs="方正小标宋简体"/>
          <w:b w:val="0"/>
          <w:bCs/>
          <w:spacing w:val="-16"/>
          <w:sz w:val="44"/>
          <w:szCs w:val="44"/>
          <w:lang w:eastAsia="zh-CN"/>
        </w:rPr>
        <w:t>（</w:t>
      </w:r>
      <w:r>
        <w:rPr>
          <w:rFonts w:hint="eastAsia" w:ascii="方正小标宋简体" w:hAnsi="方正小标宋简体" w:eastAsia="方正小标宋简体" w:cs="方正小标宋简体"/>
          <w:b w:val="0"/>
          <w:bCs/>
          <w:spacing w:val="-16"/>
          <w:sz w:val="44"/>
          <w:szCs w:val="44"/>
          <w:lang w:val="en-US" w:eastAsia="zh-CN"/>
        </w:rPr>
        <w:t>2026版</w:t>
      </w:r>
      <w:r>
        <w:rPr>
          <w:rFonts w:hint="eastAsia" w:ascii="方正小标宋简体" w:hAnsi="方正小标宋简体" w:eastAsia="方正小标宋简体" w:cs="方正小标宋简体"/>
          <w:b w:val="0"/>
          <w:bCs/>
          <w:spacing w:val="-16"/>
          <w:sz w:val="44"/>
          <w:szCs w:val="44"/>
          <w:lang w:eastAsia="zh-CN"/>
        </w:rPr>
        <w:t>）</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以随机抽样的方式在被抽查市场主体的待销产品中抽取</w:t>
      </w:r>
      <w:r>
        <w:rPr>
          <w:rFonts w:hint="eastAsia" w:ascii="仿宋_GB2312" w:hAnsi="仿宋_GB2312" w:cs="仿宋_GB2312"/>
          <w:kern w:val="0"/>
          <w:sz w:val="32"/>
          <w:szCs w:val="32"/>
          <w:lang w:eastAsia="zh-CN"/>
        </w:rPr>
        <w:t>样品</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随机数一般可使用随机数表等方法产生。</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抽查数量：每款产品抽取2组样本，第1组用于检验，第2组用于备样。具体抽样数量和方法如下</w:t>
      </w:r>
      <w:r>
        <w:rPr>
          <w:rFonts w:hint="eastAsia" w:ascii="仿宋_GB2312" w:hAnsi="仿宋_GB2312" w:cs="仿宋_GB2312"/>
          <w:kern w:val="0"/>
          <w:sz w:val="32"/>
          <w:szCs w:val="32"/>
          <w:lang w:eastAsia="zh-CN"/>
        </w:rPr>
        <w:t>。</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1.固态化肥：</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每次抽查确定3个独立包装的肥料作为一个抽样单元，从单个包装抽取样本时应按相关产品标准中规定的抽样方法进行抽样。</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掺混肥料抽取的总样本量不得少于4kg，其余商品抽取的总样本量不得少于3kg。</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样本的缩分：将份样混合在一起构成集样，将集样迅速混合均匀，用缩分器或四分法缩分至约1000g，平均分为2份，装于洁净、干燥的具有磨口塞的广口瓶或带内盖的塑料瓶中。</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2.液态化肥：</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液态化肥商品应尽量整包装抽取，避免分装。随机抽取2个独立包装，单个包装体积不少于500ml；若单个包装体积低于500ml时，则抽取多个独立包装，分成2份，且每份不少于500ml。</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封样要求：抽取的样品应当场封样，由抽样单位抽样人员、被抽样市场主体签字确认，每款产品的2组样品分别封样，抽样机构应采取防拆封措施。样品全部带回承检机构。</w:t>
      </w:r>
    </w:p>
    <w:p>
      <w:pPr>
        <w:snapToGrid w:val="0"/>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检验依据</w:t>
      </w:r>
    </w:p>
    <w:p>
      <w:pPr>
        <w:snapToGrid w:val="0"/>
        <w:spacing w:line="44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复混肥料(复合肥料)</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051"/>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7"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80"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15063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w:t>
            </w:r>
            <w:r>
              <w:rPr>
                <w:rFonts w:hint="eastAsia" w:ascii="宋体" w:hAnsi="宋体" w:eastAsia="宋体" w:cs="宋体"/>
                <w:spacing w:val="-6"/>
                <w:sz w:val="24"/>
                <w:szCs w:val="24"/>
                <w:lang w:val="en-US" w:eastAsia="zh-CN"/>
              </w:rPr>
              <w:t>/T 8572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水溶性磷占有效磷百分率</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7"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1"/>
              </w:numPr>
              <w:tabs>
                <w:tab w:val="left" w:pos="310"/>
              </w:tabs>
              <w:ind w:left="0" w:firstLine="0" w:firstLineChars="0"/>
              <w:jc w:val="center"/>
              <w:rPr>
                <w:rFonts w:hint="eastAsia" w:ascii="宋体" w:hAnsi="宋体" w:eastAsia="宋体" w:cs="宋体"/>
                <w:sz w:val="24"/>
                <w:szCs w:val="24"/>
              </w:rPr>
            </w:pPr>
          </w:p>
        </w:tc>
        <w:tc>
          <w:tcPr>
            <w:tcW w:w="30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48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 15063</w:t>
            </w:r>
          </w:p>
        </w:tc>
      </w:tr>
    </w:tbl>
    <w:p>
      <w:pPr>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2.有机-无机复混肥料</w:t>
      </w:r>
    </w:p>
    <w:tbl>
      <w:tblPr>
        <w:tblStyle w:val="5"/>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949"/>
        <w:gridCol w:w="4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9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4"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GB/T8573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w:t>
            </w:r>
            <w:r>
              <w:rPr>
                <w:rFonts w:hint="eastAsia" w:ascii="宋体" w:hAnsi="宋体" w:eastAsia="宋体" w:cs="宋体"/>
                <w:spacing w:val="-6"/>
                <w:sz w:val="24"/>
                <w:szCs w:val="24"/>
                <w:lang w:val="en-US" w:eastAsia="zh-CN"/>
              </w:rPr>
              <w:t>17767.3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氯离子</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18877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砷及其化合物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镉及其化合物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铅及其化合物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铬及其化合物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29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汞及其化合物</w:t>
            </w:r>
          </w:p>
        </w:tc>
        <w:tc>
          <w:tcPr>
            <w:tcW w:w="45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GB/T </w:t>
            </w:r>
            <w:r>
              <w:rPr>
                <w:rFonts w:hint="eastAsia" w:ascii="宋体" w:hAnsi="宋体" w:eastAsia="宋体" w:cs="宋体"/>
                <w:spacing w:val="-6"/>
                <w:sz w:val="24"/>
                <w:szCs w:val="24"/>
                <w:lang w:val="en-US" w:eastAsia="zh-CN"/>
              </w:rPr>
              <w:t>23349</w:t>
            </w:r>
          </w:p>
        </w:tc>
      </w:tr>
    </w:tbl>
    <w:p>
      <w:pPr>
        <w:spacing w:line="59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3.有机肥料内在质量检验项目及其重要性划分表。</w:t>
      </w:r>
    </w:p>
    <w:tbl>
      <w:tblPr>
        <w:tblStyle w:val="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02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9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49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有机质含量</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总养分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N+P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lang w:eastAsia="zh-CN"/>
              </w:rPr>
              <w:t>）</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N</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 xml:space="preserve">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k</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酸碱度 pH</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总砷</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总汞</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总铅</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总镉</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总铬</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NY/T 1978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粪大肠菌群数</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蛔虫卵死亡率</w:t>
            </w:r>
          </w:p>
        </w:tc>
        <w:tc>
          <w:tcPr>
            <w:tcW w:w="44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GB/T 19524.2</w:t>
            </w:r>
          </w:p>
        </w:tc>
      </w:tr>
    </w:tbl>
    <w:p>
      <w:pPr>
        <w:spacing w:line="59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4.过磷酸钙</w:t>
      </w:r>
    </w:p>
    <w:tbl>
      <w:tblPr>
        <w:tblStyle w:val="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3026"/>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0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3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外观</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有效 P</w:t>
            </w:r>
            <w:r>
              <w:rPr>
                <w:rFonts w:hint="eastAsia" w:ascii="宋体" w:hAnsi="宋体" w:eastAsia="宋体" w:cs="宋体"/>
                <w:spacing w:val="-6"/>
                <w:sz w:val="24"/>
                <w:szCs w:val="24"/>
                <w:vertAlign w:val="subscript"/>
              </w:rPr>
              <w:t>2</w:t>
            </w:r>
            <w:r>
              <w:rPr>
                <w:rFonts w:hint="eastAsia" w:ascii="宋体" w:hAnsi="宋体" w:eastAsia="宋体" w:cs="宋体"/>
                <w:spacing w:val="-6"/>
                <w:sz w:val="24"/>
                <w:szCs w:val="24"/>
              </w:rPr>
              <w:t>O</w:t>
            </w:r>
            <w:r>
              <w:rPr>
                <w:rFonts w:hint="eastAsia" w:ascii="宋体" w:hAnsi="宋体" w:eastAsia="宋体" w:cs="宋体"/>
                <w:spacing w:val="-6"/>
                <w:sz w:val="24"/>
                <w:szCs w:val="24"/>
                <w:vertAlign w:val="subscript"/>
              </w:rPr>
              <w:t>5</w:t>
            </w:r>
            <w:r>
              <w:rPr>
                <w:rFonts w:hint="eastAsia" w:ascii="宋体" w:hAnsi="宋体" w:eastAsia="宋体" w:cs="宋体"/>
                <w:spacing w:val="-6"/>
                <w:sz w:val="24"/>
                <w:szCs w:val="24"/>
              </w:rPr>
              <w:t>含量</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pPr>
              <w:pStyle w:val="11"/>
              <w:widowControl/>
              <w:numPr>
                <w:ilvl w:val="0"/>
                <w:numId w:val="0"/>
              </w:numPr>
              <w:tabs>
                <w:tab w:val="left" w:pos="310"/>
              </w:tabs>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游离酸</w:t>
            </w:r>
          </w:p>
        </w:tc>
        <w:tc>
          <w:tcPr>
            <w:tcW w:w="453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 20413</w:t>
            </w:r>
          </w:p>
        </w:tc>
      </w:tr>
    </w:tbl>
    <w:p>
      <w:pPr>
        <w:spacing w:line="59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5.尿素</w:t>
      </w:r>
    </w:p>
    <w:tbl>
      <w:tblPr>
        <w:tblStyle w:val="5"/>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26"/>
        <w:gridCol w:w="4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30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5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026" w:type="dxa"/>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总氮</w:t>
            </w:r>
          </w:p>
        </w:tc>
        <w:tc>
          <w:tcPr>
            <w:tcW w:w="4540" w:type="dxa"/>
            <w:noWrap w:val="0"/>
            <w:vAlign w:val="center"/>
          </w:tcPr>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2440－2001</w:t>
            </w:r>
          </w:p>
          <w:p>
            <w:pPr>
              <w:spacing w:line="320" w:lineRule="exact"/>
              <w:jc w:val="center"/>
              <w:rPr>
                <w:rFonts w:hint="eastAsia" w:ascii="宋体" w:hAnsi="宋体" w:eastAsia="宋体" w:cs="宋体"/>
                <w:spacing w:val="-6"/>
                <w:sz w:val="24"/>
                <w:szCs w:val="24"/>
              </w:rPr>
            </w:pPr>
            <w:r>
              <w:rPr>
                <w:rFonts w:hint="eastAsia" w:ascii="宋体" w:hAnsi="宋体" w:eastAsia="宋体" w:cs="宋体"/>
                <w:spacing w:val="-6"/>
                <w:sz w:val="24"/>
                <w:szCs w:val="24"/>
              </w:rPr>
              <w:t>GB/T 2440－2017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026"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缩二脲的质量分数</w:t>
            </w:r>
          </w:p>
        </w:tc>
        <w:tc>
          <w:tcPr>
            <w:tcW w:w="4540" w:type="dxa"/>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11" w:type="dxa"/>
            <w:noWrap w:val="0"/>
            <w:vAlign w:val="center"/>
          </w:tcPr>
          <w:p>
            <w:pPr>
              <w:widowControl/>
              <w:spacing w:line="2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026" w:type="dxa"/>
            <w:noWrap w:val="0"/>
            <w:vAlign w:val="center"/>
          </w:tcPr>
          <w:p>
            <w:pPr>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亚甲基二脲的质量分数</w:t>
            </w:r>
          </w:p>
        </w:tc>
        <w:tc>
          <w:tcPr>
            <w:tcW w:w="4540" w:type="dxa"/>
            <w:noWrap w:val="0"/>
            <w:vAlign w:val="center"/>
          </w:tcPr>
          <w:p>
            <w:pPr>
              <w:spacing w:line="320" w:lineRule="exact"/>
              <w:jc w:val="center"/>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GB/T2441.9</w:t>
            </w:r>
          </w:p>
        </w:tc>
      </w:tr>
    </w:tbl>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日期的文件，其随后所有的修改单（不包括勘误的内容）或修订版不适用于本细则。凡是不注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日期的文件，其最新版本适用于本细则。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依据标准</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15063-2020《复合肥料》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18877-2020《有机无机复混肥料》；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NY/T 525-2021《有机肥料》；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20413-2017《过磷酸钙》；（适用于2018年7月1日后生产的产品）</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2440-2001 《尿素》（适用于2018年7月1日前生产的产品）</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2440-2017 《尿素》（适用于2018年7月1日后生产的产品）</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bookmarkStart w:id="0" w:name="_GoBack"/>
      <w:bookmarkEnd w:id="0"/>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val="en-US" w:eastAsia="zh-CN"/>
        </w:rPr>
        <w:t>2</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判定原则</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kern w:val="0"/>
          <w:sz w:val="32"/>
          <w:szCs w:val="32"/>
          <w:lang w:eastAsia="zh-CN"/>
        </w:rPr>
      </w:pPr>
    </w:p>
    <w:p>
      <w:pPr>
        <w:spacing w:line="590" w:lineRule="exact"/>
        <w:ind w:firstLine="640" w:firstLineChars="200"/>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2A2299"/>
    <w:rsid w:val="08731931"/>
    <w:rsid w:val="134A556B"/>
    <w:rsid w:val="186B2B9A"/>
    <w:rsid w:val="1B3A04CA"/>
    <w:rsid w:val="1EAE5785"/>
    <w:rsid w:val="25302601"/>
    <w:rsid w:val="306D3E30"/>
    <w:rsid w:val="35DD5628"/>
    <w:rsid w:val="36B93DFC"/>
    <w:rsid w:val="388352AC"/>
    <w:rsid w:val="3C315A4B"/>
    <w:rsid w:val="3C447E39"/>
    <w:rsid w:val="430C1788"/>
    <w:rsid w:val="446B4FA9"/>
    <w:rsid w:val="46B303F3"/>
    <w:rsid w:val="49623A53"/>
    <w:rsid w:val="52023D9E"/>
    <w:rsid w:val="562F2BA3"/>
    <w:rsid w:val="590233BD"/>
    <w:rsid w:val="64A6565C"/>
    <w:rsid w:val="6A9C0E67"/>
    <w:rsid w:val="6FBFD4CC"/>
    <w:rsid w:val="70F65756"/>
    <w:rsid w:val="734F3C82"/>
    <w:rsid w:val="7906664A"/>
    <w:rsid w:val="795813BD"/>
    <w:rsid w:val="7B6315DB"/>
    <w:rsid w:val="7CFE5473"/>
    <w:rsid w:val="7EDBA4C8"/>
    <w:rsid w:val="7FE37381"/>
    <w:rsid w:val="9955CFFB"/>
    <w:rsid w:val="B1FC3210"/>
    <w:rsid w:val="FFBFB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1349</Words>
  <Characters>1794</Characters>
  <Lines>23</Lines>
  <Paragraphs>6</Paragraphs>
  <TotalTime>12</TotalTime>
  <ScaleCrop>false</ScaleCrop>
  <LinksUpToDate>false</LinksUpToDate>
  <CharactersWithSpaces>1844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2020-07-23T09:55:00Z</dcterms:created>
  <dc:creator>zyw</dc:creator>
  <cp:lastModifiedBy>dxkj</cp:lastModifiedBy>
  <cp:lastPrinted>2026-04-15T15:56:00Z</cp:lastPrinted>
  <dcterms:modified xsi:type="dcterms:W3CDTF">2026-04-15T15:56:08Z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8D2705443044418683D119BE7286DB25_13</vt:lpwstr>
  </property>
  <property fmtid="{D5CDD505-2E9C-101B-9397-08002B2CF9AE}" pid="4" name="KSOTemplateDocerSaveRecord">
    <vt:lpwstr>eyJoZGlkIjoiZTZiYzc0ZWUyYTRjMmEwOGZhZTVhMjdkNzgxNDE5NjAiLCJ1c2VySWQiOiI0OTY2OTkyMTAifQ==</vt:lpwstr>
  </property>
</Properties>
</file>