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360" w:lineRule="auto"/>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w:t>
      </w:r>
      <w:r>
        <w:rPr>
          <w:rFonts w:hint="eastAsia" w:ascii="仿宋_GB2312" w:hAnsi="仿宋_GB2312" w:cs="仿宋_GB2312"/>
          <w:kern w:val="0"/>
          <w:sz w:val="32"/>
          <w:szCs w:val="32"/>
          <w:lang w:val="en-US" w:eastAsia="zh-CN"/>
        </w:rPr>
        <w:t>9</w:t>
      </w:r>
      <w:bookmarkStart w:id="0" w:name="_GoBack"/>
      <w:bookmarkEnd w:id="0"/>
    </w:p>
    <w:p>
      <w:pPr>
        <w:jc w:val="center"/>
        <w:rPr>
          <w:rFonts w:hint="eastAsia" w:ascii="方正小标宋简体" w:hAnsi="方正小标宋简体" w:eastAsia="方正小标宋简体" w:cs="方正小标宋简体"/>
          <w:b w:val="0"/>
          <w:bCs/>
          <w:spacing w:val="-16"/>
          <w:sz w:val="44"/>
          <w:szCs w:val="44"/>
        </w:rPr>
      </w:pPr>
      <w:r>
        <w:rPr>
          <w:rFonts w:hint="eastAsia" w:ascii="方正小标宋简体" w:hAnsi="方正小标宋简体" w:eastAsia="方正小标宋简体" w:cs="方正小标宋简体"/>
          <w:b w:val="0"/>
          <w:bCs/>
          <w:spacing w:val="-20"/>
          <w:sz w:val="44"/>
          <w:szCs w:val="44"/>
          <w:lang w:val="en-US" w:eastAsia="zh-CN"/>
        </w:rPr>
        <w:t>配装眼镜产品质量监督抽查实施细则（2026版）</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以随机抽样的方式在被抽查市场主体的待销产品中抽取</w:t>
      </w:r>
      <w:r>
        <w:rPr>
          <w:rFonts w:hint="eastAsia" w:ascii="仿宋_GB2312" w:hAnsi="仿宋_GB2312" w:cs="仿宋_GB2312"/>
          <w:kern w:val="0"/>
          <w:sz w:val="32"/>
          <w:szCs w:val="32"/>
          <w:lang w:val="en-US" w:eastAsia="zh-CN"/>
        </w:rPr>
        <w:t>样品</w:t>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随机数一般可使用随机数表等方法产生。</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抽查数量：每款产品抽取1组样本用于检验（无备样）。具体抽样数量和方法如下：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9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第1组数量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配装眼镜</w:t>
            </w:r>
          </w:p>
        </w:tc>
        <w:tc>
          <w:tcPr>
            <w:tcW w:w="369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1副</w:t>
            </w:r>
          </w:p>
        </w:tc>
      </w:tr>
    </w:tbl>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93"/>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8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球镜顶焦度允差（D）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10810.1-20</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柱镜顶焦度允差（D）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10810.1-20</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柱镜轴位允差（°）</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棱镜度允差（Δ）</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附加顶焦度（D）</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10810.1-2005</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10810.1-20</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光学中心单侧水平允差（mm）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光学中心垂直互差（mm）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光学中心水平距离偏差（mm）</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可见光谱区透射比（%）</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10810.3-2006</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10810.</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-20</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紫外光谱区透射比（%）</w:t>
            </w:r>
          </w:p>
        </w:tc>
        <w:tc>
          <w:tcPr>
            <w:tcW w:w="4834" w:type="dxa"/>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 10810.3-2006</w:t>
            </w:r>
          </w:p>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10810.</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-20</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593" w:type="dxa"/>
            <w:noWrap/>
            <w:vAlign w:val="center"/>
          </w:tcPr>
          <w:p>
            <w:pPr>
              <w:jc w:val="center"/>
              <w:rPr>
                <w:rFonts w:hint="eastAsia" w:ascii="宋体" w:hAnsi="宋体" w:eastAsia="宋体" w:cs="宋体"/>
                <w:sz w:val="24"/>
                <w:szCs w:val="24"/>
              </w:rPr>
            </w:pPr>
            <w:r>
              <w:rPr>
                <w:rFonts w:hint="eastAsia" w:ascii="宋体" w:hAnsi="宋体" w:eastAsia="宋体" w:cs="宋体"/>
                <w:sz w:val="24"/>
                <w:szCs w:val="24"/>
              </w:rPr>
              <w:t>装配质量</w:t>
            </w:r>
          </w:p>
        </w:tc>
        <w:tc>
          <w:tcPr>
            <w:tcW w:w="4834" w:type="dxa"/>
            <w:shd w:val="clear" w:color="auto" w:fill="auto"/>
            <w:noWrap/>
            <w:vAlign w:val="center"/>
          </w:tcPr>
          <w:p>
            <w:pPr>
              <w:adjustRightInd w:val="0"/>
              <w:snapToGrid w:val="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 13511.1-2011 </w:t>
            </w:r>
          </w:p>
          <w:p>
            <w:pPr>
              <w:adjustRightInd w:val="0"/>
              <w:snapToGrid w:val="0"/>
              <w:jc w:val="center"/>
              <w:rPr>
                <w:rFonts w:hint="eastAsia" w:ascii="宋体" w:hAnsi="宋体" w:eastAsia="宋体" w:cs="宋体"/>
                <w:spacing w:val="-6"/>
                <w:kern w:val="2"/>
                <w:sz w:val="24"/>
                <w:szCs w:val="24"/>
                <w:lang w:val="en-US" w:eastAsia="zh-CN" w:bidi="ar-SA"/>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w:t>
            </w:r>
            <w:r>
              <w:rPr>
                <w:rFonts w:hint="eastAsia" w:ascii="宋体" w:hAnsi="宋体" w:eastAsia="宋体" w:cs="宋体"/>
                <w:spacing w:val="-6"/>
                <w:sz w:val="24"/>
                <w:szCs w:val="24"/>
              </w:rPr>
              <w:t xml:space="preserve"> 13511.1-20</w:t>
            </w:r>
            <w:r>
              <w:rPr>
                <w:rFonts w:hint="eastAsia" w:ascii="宋体" w:hAnsi="宋体" w:eastAsia="宋体" w:cs="宋体"/>
                <w:spacing w:val="-6"/>
                <w:sz w:val="24"/>
                <w:szCs w:val="24"/>
                <w:lang w:val="en-US" w:eastAsia="zh-CN"/>
              </w:rPr>
              <w:t>25</w:t>
            </w:r>
          </w:p>
        </w:tc>
      </w:tr>
    </w:tbl>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凡是注</w:t>
      </w:r>
      <w:r>
        <w:rPr>
          <w:rFonts w:hint="eastAsia" w:ascii="仿宋_GB2312" w:hAnsi="仿宋_GB2312" w:cs="仿宋_GB2312"/>
          <w:kern w:val="0"/>
          <w:sz w:val="32"/>
          <w:szCs w:val="32"/>
          <w:lang w:val="en-US" w:eastAsia="zh-CN"/>
        </w:rPr>
        <w:t>明</w:t>
      </w:r>
      <w:r>
        <w:rPr>
          <w:rFonts w:hint="eastAsia" w:ascii="仿宋_GB2312" w:hAnsi="仿宋_GB2312" w:eastAsia="仿宋_GB2312" w:cs="仿宋_GB2312"/>
          <w:kern w:val="0"/>
          <w:sz w:val="32"/>
          <w:szCs w:val="32"/>
          <w:lang w:val="en-US" w:eastAsia="zh-CN"/>
        </w:rPr>
        <w:t>日期的文件，其随后所有的修改单（不包括勘误的内容）或修订版不适用于本细则。凡是不注</w:t>
      </w:r>
      <w:r>
        <w:rPr>
          <w:rFonts w:hint="eastAsia" w:ascii="仿宋_GB2312" w:hAnsi="仿宋_GB2312" w:cs="仿宋_GB2312"/>
          <w:kern w:val="0"/>
          <w:sz w:val="32"/>
          <w:szCs w:val="32"/>
          <w:lang w:val="en-US" w:eastAsia="zh-CN"/>
        </w:rPr>
        <w:t>明</w:t>
      </w:r>
      <w:r>
        <w:rPr>
          <w:rFonts w:hint="eastAsia" w:ascii="仿宋_GB2312" w:hAnsi="仿宋_GB2312" w:eastAsia="仿宋_GB2312" w:cs="仿宋_GB2312"/>
          <w:kern w:val="0"/>
          <w:sz w:val="32"/>
          <w:szCs w:val="32"/>
          <w:lang w:val="en-US" w:eastAsia="zh-CN"/>
        </w:rPr>
        <w:t>日期的文件，其最新版本适用于本细则。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三、判定规则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依据标准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13511.1-2011 《配装眼镜 第1部分：单光和多焦点》</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10810.1-2005 《眼镜镜片 第1部分：单光和多焦点镜片》</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10810.3-2006 《眼镜镜片及相关眼镜产品 透射比规范及测量方法》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14214-2019 《眼镜架  通用要求和试验方法》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13511.1-20</w:t>
      </w:r>
      <w:r>
        <w:rPr>
          <w:rFonts w:hint="eastAsia" w:ascii="仿宋_GB2312" w:hAnsi="仿宋_GB2312" w:cs="仿宋_GB2312"/>
          <w:kern w:val="0"/>
          <w:sz w:val="32"/>
          <w:szCs w:val="32"/>
          <w:lang w:val="en-US" w:eastAsia="zh-CN"/>
        </w:rPr>
        <w:t>25</w:t>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eastAsia="仿宋_GB2312" w:cs="仿宋_GB2312"/>
          <w:kern w:val="0"/>
          <w:sz w:val="32"/>
          <w:szCs w:val="32"/>
          <w:lang w:val="en-US" w:eastAsia="zh-CN"/>
        </w:rPr>
        <w:fldChar w:fldCharType="begin"/>
      </w:r>
      <w:r>
        <w:rPr>
          <w:rFonts w:hint="default" w:ascii="仿宋_GB2312" w:hAnsi="仿宋_GB2312" w:eastAsia="仿宋_GB2312" w:cs="仿宋_GB2312"/>
          <w:kern w:val="0"/>
          <w:sz w:val="32"/>
          <w:szCs w:val="32"/>
          <w:lang w:val="en-US" w:eastAsia="zh-CN"/>
        </w:rPr>
        <w:instrText xml:space="preserve"> HYPERLINK "https://std.samr.gov.cn/gb/search/gbDetailed?id=2FF37940EB64D753E06397BE0A0A413F" \t "https://std.samr.gov.cn/search/stdPage?q=GB/_blank" </w:instrText>
      </w:r>
      <w:r>
        <w:rPr>
          <w:rFonts w:hint="default" w:ascii="仿宋_GB2312" w:hAnsi="仿宋_GB2312" w:eastAsia="仿宋_GB2312" w:cs="仿宋_GB2312"/>
          <w:kern w:val="0"/>
          <w:sz w:val="32"/>
          <w:szCs w:val="32"/>
          <w:lang w:val="en-US" w:eastAsia="zh-CN"/>
        </w:rPr>
        <w:fldChar w:fldCharType="separate"/>
      </w:r>
      <w:r>
        <w:rPr>
          <w:rFonts w:hint="default" w:ascii="仿宋_GB2312" w:hAnsi="仿宋_GB2312" w:eastAsia="仿宋_GB2312" w:cs="仿宋_GB2312"/>
          <w:kern w:val="0"/>
          <w:sz w:val="32"/>
          <w:szCs w:val="32"/>
          <w:lang w:val="en-US" w:eastAsia="zh-CN"/>
        </w:rPr>
        <w:t>配装眼镜 第1部分：单焦和多焦定配眼镜</w:t>
      </w:r>
      <w:r>
        <w:rPr>
          <w:rFonts w:hint="default" w:ascii="仿宋_GB2312" w:hAnsi="仿宋_GB2312" w:eastAsia="仿宋_GB2312" w:cs="仿宋_GB2312"/>
          <w:kern w:val="0"/>
          <w:sz w:val="32"/>
          <w:szCs w:val="32"/>
          <w:lang w:val="en-US" w:eastAsia="zh-CN"/>
        </w:rPr>
        <w:fldChar w:fldCharType="end"/>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10810.1-2025 《</w:t>
      </w:r>
      <w:r>
        <w:rPr>
          <w:rFonts w:hint="default" w:ascii="仿宋_GB2312" w:hAnsi="仿宋_GB2312" w:eastAsia="仿宋_GB2312" w:cs="仿宋_GB2312"/>
          <w:kern w:val="0"/>
          <w:sz w:val="32"/>
          <w:szCs w:val="32"/>
          <w:lang w:val="en-US" w:eastAsia="zh-CN"/>
        </w:rPr>
        <w:fldChar w:fldCharType="begin"/>
      </w:r>
      <w:r>
        <w:rPr>
          <w:rFonts w:hint="default" w:ascii="仿宋_GB2312" w:hAnsi="仿宋_GB2312" w:eastAsia="仿宋_GB2312" w:cs="仿宋_GB2312"/>
          <w:kern w:val="0"/>
          <w:sz w:val="32"/>
          <w:szCs w:val="32"/>
          <w:lang w:val="en-US" w:eastAsia="zh-CN"/>
        </w:rPr>
        <w:instrText xml:space="preserve"> HYPERLINK "https://std.samr.gov.cn/gb/search/gbDetailed?id=2FF37940EB69D753E06397BE0A0A413F" \t "https://std.samr.gov.cn/search/stdPage?q=GB/_blank" </w:instrText>
      </w:r>
      <w:r>
        <w:rPr>
          <w:rFonts w:hint="default" w:ascii="仿宋_GB2312" w:hAnsi="仿宋_GB2312" w:eastAsia="仿宋_GB2312" w:cs="仿宋_GB2312"/>
          <w:kern w:val="0"/>
          <w:sz w:val="32"/>
          <w:szCs w:val="32"/>
          <w:lang w:val="en-US" w:eastAsia="zh-CN"/>
        </w:rPr>
        <w:fldChar w:fldCharType="separate"/>
      </w:r>
      <w:r>
        <w:rPr>
          <w:rFonts w:hint="default" w:ascii="仿宋_GB2312" w:hAnsi="仿宋_GB2312" w:eastAsia="仿宋_GB2312" w:cs="仿宋_GB2312"/>
          <w:kern w:val="0"/>
          <w:sz w:val="32"/>
          <w:szCs w:val="32"/>
          <w:lang w:val="en-US" w:eastAsia="zh-CN"/>
        </w:rPr>
        <w:t>眼镜镜片 第1部分：单焦和多焦</w:t>
      </w:r>
      <w:r>
        <w:rPr>
          <w:rFonts w:hint="default" w:ascii="仿宋_GB2312" w:hAnsi="仿宋_GB2312" w:eastAsia="仿宋_GB2312" w:cs="仿宋_GB2312"/>
          <w:kern w:val="0"/>
          <w:sz w:val="32"/>
          <w:szCs w:val="32"/>
          <w:lang w:val="en-US" w:eastAsia="zh-CN"/>
        </w:rPr>
        <w:fldChar w:fldCharType="end"/>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lang w:val="en-US" w:eastAsia="zh-CN"/>
        </w:rPr>
      </w:pPr>
      <w:r>
        <w:rPr>
          <w:rFonts w:hint="eastAsia" w:ascii="仿宋_GB2312" w:hAnsi="仿宋_GB2312" w:eastAsia="仿宋_GB2312" w:cs="仿宋_GB2312"/>
          <w:kern w:val="0"/>
          <w:sz w:val="32"/>
          <w:szCs w:val="32"/>
          <w:lang w:val="en-US" w:eastAsia="zh-CN"/>
        </w:rPr>
        <w:t>GB/T 10810.3-20</w:t>
      </w:r>
      <w:r>
        <w:rPr>
          <w:rFonts w:hint="eastAsia" w:ascii="仿宋_GB2312" w:hAnsi="仿宋_GB2312" w:cs="仿宋_GB2312"/>
          <w:kern w:val="0"/>
          <w:sz w:val="32"/>
          <w:szCs w:val="32"/>
          <w:lang w:val="en-US" w:eastAsia="zh-CN"/>
        </w:rPr>
        <w:t>25</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fldChar w:fldCharType="begin"/>
      </w:r>
      <w:r>
        <w:rPr>
          <w:rFonts w:hint="eastAsia" w:ascii="仿宋_GB2312" w:hAnsi="仿宋_GB2312" w:eastAsia="仿宋_GB2312" w:cs="仿宋_GB2312"/>
          <w:kern w:val="0"/>
          <w:sz w:val="32"/>
          <w:szCs w:val="32"/>
          <w:lang w:val="en-US" w:eastAsia="zh-CN"/>
        </w:rPr>
        <w:instrText xml:space="preserve"> HYPERLINK "https://std.samr.gov.cn/gb/search/gbDetailed?id=2FF37940EB68D753E06397BE0A0A413F" \t "https://std.samr.gov.cn/search/stdPage?q=GB/_blank" </w:instrText>
      </w:r>
      <w:r>
        <w:rPr>
          <w:rFonts w:hint="eastAsia" w:ascii="仿宋_GB2312" w:hAnsi="仿宋_GB2312" w:eastAsia="仿宋_GB2312" w:cs="仿宋_GB2312"/>
          <w:kern w:val="0"/>
          <w:sz w:val="32"/>
          <w:szCs w:val="32"/>
          <w:lang w:val="en-US" w:eastAsia="zh-CN"/>
        </w:rPr>
        <w:fldChar w:fldCharType="separate"/>
      </w:r>
      <w:r>
        <w:rPr>
          <w:rFonts w:hint="default" w:ascii="仿宋_GB2312" w:hAnsi="仿宋_GB2312" w:eastAsia="仿宋_GB2312" w:cs="仿宋_GB2312"/>
          <w:kern w:val="0"/>
          <w:sz w:val="32"/>
          <w:szCs w:val="32"/>
          <w:lang w:val="en-US" w:eastAsia="zh-CN"/>
        </w:rPr>
        <w:t>眼镜镜片 第3部分：透射比试验方法</w:t>
      </w:r>
      <w:r>
        <w:rPr>
          <w:rFonts w:hint="default" w:ascii="仿宋_GB2312" w:hAnsi="仿宋_GB2312" w:eastAsia="仿宋_GB2312" w:cs="仿宋_GB2312"/>
          <w:kern w:val="0"/>
          <w:sz w:val="32"/>
          <w:szCs w:val="32"/>
          <w:lang w:val="en-US" w:eastAsia="zh-CN"/>
        </w:rPr>
        <w:fldChar w:fldCharType="end"/>
      </w:r>
      <w:r>
        <w:rPr>
          <w:rFonts w:hint="eastAsia" w:ascii="仿宋_GB2312" w:hAnsi="仿宋_GB2312" w:eastAsia="仿宋_GB2312" w:cs="仿宋_GB2312"/>
          <w:kern w:val="0"/>
          <w:sz w:val="32"/>
          <w:szCs w:val="32"/>
          <w:lang w:val="en-US"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判定原则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若被检产品明示的质量要求缺少本细则中检验项目依据的推荐性标准要求时，该项目不参与判定。</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FBF2F18"/>
    <w:rsid w:val="186B2B9A"/>
    <w:rsid w:val="37764DFF"/>
    <w:rsid w:val="38A256E7"/>
    <w:rsid w:val="3C315A4B"/>
    <w:rsid w:val="3C994CD9"/>
    <w:rsid w:val="42617155"/>
    <w:rsid w:val="46B303F3"/>
    <w:rsid w:val="4CFBD491"/>
    <w:rsid w:val="543B484E"/>
    <w:rsid w:val="562F2BA3"/>
    <w:rsid w:val="56FE4A77"/>
    <w:rsid w:val="590233BD"/>
    <w:rsid w:val="5F1F445B"/>
    <w:rsid w:val="6A9C0E67"/>
    <w:rsid w:val="6B6C6232"/>
    <w:rsid w:val="6EA1734C"/>
    <w:rsid w:val="6EEE5A3B"/>
    <w:rsid w:val="6FE7234F"/>
    <w:rsid w:val="72052921"/>
    <w:rsid w:val="768102D7"/>
    <w:rsid w:val="777B30C0"/>
    <w:rsid w:val="777B472A"/>
    <w:rsid w:val="7906664A"/>
    <w:rsid w:val="7B6315DB"/>
    <w:rsid w:val="FFF4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脚 Char"/>
    <w:basedOn w:val="6"/>
    <w:link w:val="3"/>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6"/>
    <w:link w:val="4"/>
    <w:qFormat/>
    <w:uiPriority w:val="0"/>
    <w:rPr>
      <w:rFonts w:ascii="Times New Roman" w:hAnsi="Times New Roman" w:eastAsia="仿宋_GB2312" w:cs="Times New Roman"/>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943</Words>
  <Characters>1157</Characters>
  <Lines>23</Lines>
  <Paragraphs>6</Paragraphs>
  <TotalTime>14</TotalTime>
  <ScaleCrop>false</ScaleCrop>
  <LinksUpToDate>false</LinksUpToDate>
  <CharactersWithSpaces>1194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2024-04-23T07:10:00Z</cp:lastPrinted>
  <dcterms:modified xsi:type="dcterms:W3CDTF">2026-04-16T11:08:41Z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E77522BB74674D98831516B449A0D5D5_13</vt:lpwstr>
  </property>
  <property fmtid="{D5CDD505-2E9C-101B-9397-08002B2CF9AE}" pid="4" name="KSOTemplateDocerSaveRecord">
    <vt:lpwstr>eyJoZGlkIjoiMDliNWMyZWYyODFhMzQ2NzdmOWYxMGJmMzM2NzMyNmMiLCJ1c2VySWQiOiI2ODIxNzc4NDUifQ==</vt:lpwstr>
  </property>
</Properties>
</file>