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附件3：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016"/>
        <w:gridCol w:w="2176"/>
        <w:gridCol w:w="2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1" w:name="_GoBack"/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auto"/>
                <w:kern w:val="2"/>
                <w:sz w:val="40"/>
                <w:szCs w:val="40"/>
                <w:lang w:val="en-US" w:eastAsia="zh-CN" w:bidi="ar-SA"/>
              </w:rPr>
              <w:t>河源市项目制培训承训单位备案表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机构全称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（企业填写单位全称）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办学许可证编号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注册地址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最近年审或检查时间</w:t>
            </w: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高等院校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技工院校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职业院校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行业协会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" w:hAnsi="Wingdings" w:eastAsia="宋体" w:cs="Wingdings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企业职工培训中心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民办职业培训学校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承训项目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计划培训人数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培训方式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线下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线上线下相结合，线上平台名称和课程资源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遴选方式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招投标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竞争性磋商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专家评审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承训机构能力情况说明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OLE_LINK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eastAsia="zh-CN"/>
              </w:rPr>
              <w:t>承接多个培训项目的，每个培训项目填一张备案表，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说明遴选该承训机构的理由，主要包括培训范围、培训优势等，并说明该机构的师资（注明专职、兼职）、场地、设施设备等情况。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联系人：                 电话：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方正仿宋简体" w:hAnsi="方正仿宋简体" w:eastAsia="方正仿宋简体" w:cs="方正仿宋简体"/>
          <w:color w:val="auto"/>
          <w:spacing w:val="9"/>
          <w:position w:val="3"/>
          <w:sz w:val="32"/>
          <w:szCs w:val="32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rPr>
          <w:color w:val="auto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338B7"/>
    <w:rsid w:val="7573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2026-04-15T01:16:00Z</dcterms:created>
  <dc:creator>Administrator</dc:creator>
  <cp:lastModifiedBy>Administrator</cp:lastModifiedBy>
  <dcterms:modified xsi:type="dcterms:W3CDTF">2026-04-15T01:16:51Z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1D7F2F4D68CD4EDEA52E2A71C1FCF7D9</vt:lpwstr>
  </property>
</Properties>
</file>