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</w:rPr>
        <w:t>关于鼓励限额以上商贸企业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和规模以上服务业</w:t>
      </w:r>
    </w:p>
    <w:p w14:paraId="14DF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color w:val="000000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企业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</w:rPr>
        <w:t>加快发展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spacing w:val="0"/>
          <w:kern w:val="0"/>
          <w:sz w:val="40"/>
          <w:szCs w:val="40"/>
          <w:lang w:val="en-US" w:eastAsia="zh-CN"/>
        </w:rPr>
        <w:t>若干政策措施</w:t>
      </w:r>
    </w:p>
    <w:p w14:paraId="36C7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</w:p>
    <w:p w14:paraId="1AD4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为加快推进限额以上商贸企业和规模以上服务业企业发展，充分发挥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在商贸流通及服务业中的示范引领和支撑带动作用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推动我县消费平稳增长，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根据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《中华人民共和国民营经济促进法》《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val="en-US" w:eastAsia="zh-CN"/>
        </w:rPr>
        <w:t>广东省人民政府关于印发〈广东省促进服务消费高质量发展若干措施〉的通知》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val="en-US" w:eastAsia="zh-CN"/>
        </w:rPr>
        <w:t>粤府函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〔202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〕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16号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广东省商务厅等9部门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关于印发支持商贸主体达限纳统应统尽统的若干措施的通知》（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粤商务建函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〔202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〕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146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等有关文件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结合我县实际，制定本政策措施。</w:t>
      </w:r>
    </w:p>
    <w:p w14:paraId="49F79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一、扶持</w:t>
      </w: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对象</w:t>
      </w:r>
    </w:p>
    <w:p w14:paraId="673F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在我县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依法从事批发、零售、住宿、餐饮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类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</w:rPr>
        <w:t>。</w:t>
      </w:r>
    </w:p>
    <w:p w14:paraId="7BF1E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二、认定标准</w:t>
      </w:r>
    </w:p>
    <w:p w14:paraId="1098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）年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主营业务收入达到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限额以上的批发、零售、住宿、餐饮类商贸企业（含个体户）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。</w:t>
      </w:r>
    </w:p>
    <w:p w14:paraId="76B6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50" w:firstLineChars="2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）年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营业收入达到规模以上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的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服务业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企业。（具体标准详见附件）</w:t>
      </w:r>
    </w:p>
    <w:p w14:paraId="29131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三、扶持方式</w:t>
      </w:r>
    </w:p>
    <w:p w14:paraId="155EF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（一）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首次上限的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批发、零售、住宿、餐饮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val="en-US" w:eastAsia="zh-CN"/>
        </w:rPr>
        <w:t>类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商贸企业（含个体户）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首次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服务业企业，第一年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给予奖励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10万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元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，第二年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商贸企业（含个体户）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主营业务收入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、服务业企业营业收入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</w:rPr>
        <w:t>增速对比上年增长25%以上的，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u w:val="none"/>
          <w:lang w:eastAsia="zh-CN"/>
        </w:rPr>
        <w:t>给予奖励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5万元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以上奖励资金不含省市奖补资金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）。</w:t>
      </w:r>
    </w:p>
    <w:p w14:paraId="6E41C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当年主营业务收入增速高于全县社会消费品零售总额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以12月月报为准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增速10%以上的限额以上商贸企业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（含个体户）、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highlight w:val="none"/>
          <w:u w:val="none"/>
        </w:rPr>
        <w:t>当年营业收入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增速高于全县服务业总额增速10%以上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规模以上服务业企业，给予奖励1万元。</w:t>
      </w:r>
    </w:p>
    <w:p w14:paraId="54E49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（三）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鼓励工业、农业企业创办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。工业、农业企业将营销、服务部门单独设立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商贸法人企业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，且被认定为限额以上商贸企业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的，享受同等待遇。</w:t>
      </w:r>
    </w:p>
    <w:p w14:paraId="5C0AA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（四）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鼓励个体工商户通过多种形式组建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。对创新商贸企业组建形式，通过专业合作社、企业联盟、股份合作、连锁经营等形式，将餐饮、住宿、交通运输等行业中的个体工商户合作组建为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限额以上商贸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或规模以上服务业企业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的，享受同等待遇。</w:t>
      </w:r>
    </w:p>
    <w:p w14:paraId="45608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四、申报程序</w:t>
      </w:r>
    </w:p>
    <w:p w14:paraId="21455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新增限额以上商贸企业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和规模以上服务业企业一次性奖励。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由县工商信局组织新上限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企业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</w:rPr>
        <w:t>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申报奖励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县统计局组织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新上规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服务业企业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申报奖励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，申报材料经县统计局核实确认后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highlight w:val="none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pacing w:val="0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上限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pacing w:val="0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</w:rPr>
        <w:t>认定以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</w:rPr>
        <w:t>统计部门批复为准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u w:val="none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由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u w:val="none"/>
        </w:rPr>
        <w:t>县工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商信局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县统计局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按程序报县政府审定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后拨付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奖金。</w:t>
      </w:r>
    </w:p>
    <w:p w14:paraId="22E3D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74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限额以上商贸企业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（含个体户）</w:t>
      </w:r>
      <w:r>
        <w:rPr>
          <w:rFonts w:hint="eastAsia" w:ascii="宋体" w:hAnsi="宋体" w:eastAsia="楷体_GB2312" w:cs="楷体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和规模以上服务业企业发展增速达标奖励。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当年主营业务收入增速高于全县社会消费品零售总额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val="en-US" w:eastAsia="zh-CN"/>
        </w:rPr>
        <w:t>以12月月报为准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增速10%以上的限额以上商贸企业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（含个体户）、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highlight w:val="none"/>
          <w:u w:val="none"/>
        </w:rPr>
        <w:t>当年营业收入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增速高于全县服务业总额增速10%以上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eastAsia="zh-CN"/>
        </w:rPr>
        <w:t>的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规模以上服务业企业，由县工商信局组织企业申报奖励，经县统计局核实确认后，由县工商信局按程序报县政府审定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  <w:lang w:val="en-US" w:eastAsia="zh-CN"/>
        </w:rPr>
        <w:t>后拨付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6"/>
          <w:kern w:val="0"/>
          <w:sz w:val="30"/>
          <w:szCs w:val="30"/>
        </w:rPr>
        <w:t>奖金。</w:t>
      </w:r>
    </w:p>
    <w:p w14:paraId="2CBDE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五、奖励资金来源</w:t>
      </w:r>
    </w:p>
    <w:p w14:paraId="57EB4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本政策措施涉及的商贸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企业（含个体户）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、服务业企业奖励资金，纳入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财政年度预算安排。</w:t>
      </w:r>
    </w:p>
    <w:p w14:paraId="62BC8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六、资金监督管理</w:t>
      </w:r>
    </w:p>
    <w:p w14:paraId="50067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（一）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县财政局负责奖补资金的预算安排、资金拨付，组织开展绩效管理，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并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对资金支出进行监督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。</w:t>
      </w:r>
    </w:p>
    <w:p w14:paraId="03AD0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（二）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相关企业和个人获得的扶持资金应用于项目的经营管理专项开支，单独核算，专款专用。任何单位和个人不得以任何理由截留、挤占、挪用。对违反规定的有关单位和个人将依法追究责任。</w:t>
      </w:r>
    </w:p>
    <w:p w14:paraId="059BF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（三）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获得专项资金扶持的企业有下列情形之一的，将视情节轻重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予以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通报批评、追缴扣回奖励资金等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eastAsia="zh-CN"/>
        </w:rPr>
        <w:t>处罚，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情节严重的，取消以后年度申报资格：</w:t>
      </w:r>
    </w:p>
    <w:p w14:paraId="6E1C4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提供虚假材料，骗取奖励资金的；</w:t>
      </w:r>
    </w:p>
    <w:p w14:paraId="6D33F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有侵犯知识产权行为的；</w:t>
      </w:r>
    </w:p>
    <w:p w14:paraId="3FFFC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</w:rPr>
        <w:t>不按规定使用奖励资金的。</w:t>
      </w:r>
    </w:p>
    <w:p w14:paraId="4F99B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leftChars="0" w:right="0" w:rightChars="0" w:firstLine="65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t>七、附则</w:t>
      </w:r>
    </w:p>
    <w:p w14:paraId="0C2A0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  <w:t>（一）本政策措施自2025年11月9日起实施，有效期3年。在实施过程中与新出台的法律、法规、规章或上级部门政策不一致的，以法律、法规、规章或上级部门政策规定为准。</w:t>
      </w:r>
    </w:p>
    <w:p w14:paraId="52DC1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</w:rPr>
        <w:t>（二）本政策措施由县工业商务和信息化局负责解释。</w:t>
      </w:r>
    </w:p>
    <w:p w14:paraId="7DF8E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1300" w:firstLineChars="400"/>
        <w:jc w:val="both"/>
        <w:textAlignment w:val="auto"/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single"/>
        </w:rPr>
      </w:pPr>
    </w:p>
    <w:p w14:paraId="680F7E7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u w:val="none"/>
          <w:lang w:eastAsia="zh-CN"/>
        </w:rPr>
        <w:t>附件：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</w:rPr>
        <w:t>限额以上商贸企业和规模以上服务业</w:t>
      </w:r>
      <w:r>
        <w:rPr>
          <w:rFonts w:hint="eastAsia" w:ascii="宋体" w:hAnsi="宋体" w:eastAsia="仿宋_GB2312" w:cs="仿宋_GB2312"/>
          <w:snapToGrid w:val="0"/>
          <w:color w:val="000000"/>
          <w:kern w:val="0"/>
          <w:sz w:val="30"/>
          <w:szCs w:val="30"/>
          <w:lang w:eastAsia="zh-CN"/>
        </w:rPr>
        <w:t>企业认定标准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  <w:br w:type="page"/>
      </w:r>
    </w:p>
    <w:p w14:paraId="3A80DB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 w:rightChars="0" w:firstLine="0" w:firstLineChars="0"/>
        <w:jc w:val="left"/>
        <w:textAlignment w:val="auto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  <w:t>附件</w:t>
      </w:r>
    </w:p>
    <w:p w14:paraId="1C2505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 w:rightChars="0" w:firstLine="0" w:firstLineChars="0"/>
        <w:jc w:val="left"/>
        <w:textAlignment w:val="auto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kern w:val="2"/>
          <w:sz w:val="28"/>
          <w:szCs w:val="28"/>
          <w:shd w:val="clear" w:color="auto" w:fill="auto"/>
          <w:lang w:val="en-US" w:eastAsia="zh-CN"/>
        </w:rPr>
      </w:pPr>
    </w:p>
    <w:p w14:paraId="7E25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限额以上商贸企业和规模以上服务业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  <w:lang w:eastAsia="zh-CN"/>
        </w:rPr>
        <w:t>企业</w:t>
      </w:r>
    </w:p>
    <w:p w14:paraId="61FBC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napToGrid w:val="0"/>
          <w:color w:val="000000"/>
          <w:spacing w:val="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认定标准</w:t>
      </w:r>
    </w:p>
    <w:p w14:paraId="03DFB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 w14:paraId="5ED33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批发和零售业统计限额标准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 w14:paraId="54DB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0F420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983" w:type="dxa"/>
          </w:tcPr>
          <w:p w14:paraId="2F6FD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统计指标名称</w:t>
            </w:r>
          </w:p>
        </w:tc>
        <w:tc>
          <w:tcPr>
            <w:tcW w:w="2983" w:type="dxa"/>
          </w:tcPr>
          <w:p w14:paraId="0493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限额标准</w:t>
            </w:r>
          </w:p>
        </w:tc>
      </w:tr>
      <w:tr w14:paraId="3210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E2DF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批发业</w:t>
            </w:r>
          </w:p>
        </w:tc>
        <w:tc>
          <w:tcPr>
            <w:tcW w:w="2983" w:type="dxa"/>
          </w:tcPr>
          <w:p w14:paraId="16B0B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年主营业务收入</w:t>
            </w:r>
          </w:p>
        </w:tc>
        <w:tc>
          <w:tcPr>
            <w:tcW w:w="2983" w:type="dxa"/>
          </w:tcPr>
          <w:p w14:paraId="5606D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2000万元</w:t>
            </w:r>
          </w:p>
        </w:tc>
      </w:tr>
      <w:tr w14:paraId="6DD1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EEA1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零售业</w:t>
            </w:r>
          </w:p>
        </w:tc>
        <w:tc>
          <w:tcPr>
            <w:tcW w:w="2983" w:type="dxa"/>
          </w:tcPr>
          <w:p w14:paraId="0295B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年主营业务收入</w:t>
            </w:r>
          </w:p>
        </w:tc>
        <w:tc>
          <w:tcPr>
            <w:tcW w:w="2983" w:type="dxa"/>
          </w:tcPr>
          <w:p w14:paraId="02BC9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500万元</w:t>
            </w:r>
          </w:p>
        </w:tc>
      </w:tr>
    </w:tbl>
    <w:p w14:paraId="66444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53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注：摘自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《批发和零售业统计报表制度》（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2024年统计年报和2025年定期统计报表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）第四点第（三）项批发和零售业统计限额标准。</w:t>
      </w:r>
    </w:p>
    <w:p w14:paraId="49BED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</w:p>
    <w:p w14:paraId="10285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  <w:t>住宿和餐饮业统计限额标准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 w14:paraId="606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shd w:val="clear" w:color="auto" w:fill="auto"/>
            <w:vAlign w:val="center"/>
          </w:tcPr>
          <w:p w14:paraId="4CFC2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0CA8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统计指标名称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E35F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限额标准</w:t>
            </w:r>
          </w:p>
        </w:tc>
      </w:tr>
      <w:tr w14:paraId="33FB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center"/>
          </w:tcPr>
          <w:p w14:paraId="2BC9E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住宿业</w:t>
            </w:r>
          </w:p>
        </w:tc>
        <w:tc>
          <w:tcPr>
            <w:tcW w:w="2983" w:type="dxa"/>
            <w:vMerge w:val="restart"/>
            <w:vAlign w:val="center"/>
          </w:tcPr>
          <w:p w14:paraId="7985846E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napToGrid w:val="0"/>
                <w:color w:val="000000"/>
                <w:kern w:val="0"/>
                <w:sz w:val="24"/>
                <w:u w:val="none"/>
              </w:rPr>
              <w:t>年主营业务收入</w:t>
            </w:r>
          </w:p>
        </w:tc>
        <w:tc>
          <w:tcPr>
            <w:tcW w:w="2983" w:type="dxa"/>
            <w:vMerge w:val="restart"/>
            <w:vAlign w:val="center"/>
          </w:tcPr>
          <w:p w14:paraId="5B8350B9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200万元</w:t>
            </w:r>
          </w:p>
        </w:tc>
      </w:tr>
      <w:tr w14:paraId="2B7B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Align w:val="center"/>
          </w:tcPr>
          <w:p w14:paraId="2E21D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餐饮业</w:t>
            </w:r>
          </w:p>
        </w:tc>
        <w:tc>
          <w:tcPr>
            <w:tcW w:w="2983" w:type="dxa"/>
            <w:vMerge w:val="continue"/>
            <w:vAlign w:val="center"/>
          </w:tcPr>
          <w:p w14:paraId="15AF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Merge w:val="continue"/>
            <w:vAlign w:val="center"/>
          </w:tcPr>
          <w:p w14:paraId="1B9BE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F2F7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53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注：摘自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《住宿和餐饮业统计报表制度》（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2024年统计年报和2025年定期统计报表</w:t>
      </w: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24"/>
          <w:szCs w:val="24"/>
          <w:u w:val="none"/>
          <w:lang w:eastAsia="zh-CN"/>
        </w:rPr>
        <w:t>）第四点第（三）项住宿和餐饮业统计限额标准。</w:t>
      </w:r>
    </w:p>
    <w:p w14:paraId="29477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0E6CE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1A4FF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</w:p>
    <w:p w14:paraId="07E35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40"/>
          <w:szCs w:val="40"/>
          <w:u w:val="none"/>
          <w:lang w:eastAsia="zh-CN"/>
        </w:rPr>
      </w:pPr>
      <w:r>
        <w:rPr>
          <w:rFonts w:hint="eastAsia" w:ascii="宋体" w:hAnsi="宋体" w:eastAsia="黑体" w:cs="黑体"/>
          <w:b w:val="0"/>
          <w:bCs w:val="0"/>
          <w:snapToGrid w:val="0"/>
          <w:color w:val="000000"/>
          <w:kern w:val="0"/>
          <w:sz w:val="40"/>
          <w:szCs w:val="40"/>
          <w:u w:val="none"/>
          <w:lang w:eastAsia="zh-CN"/>
        </w:rPr>
        <w:t>规模以上服务业企业认定标准</w:t>
      </w:r>
    </w:p>
    <w:p w14:paraId="05C12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</w:p>
    <w:p w14:paraId="1FB5B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1.辖区内年营业收入2000万元及以上服务业法人单位。包括：交通运输、仓储和邮政业，信息传输、软件和信息技术服务业，水利、环境和公共设施管理业三个门类和卫生行业大类。</w:t>
      </w:r>
    </w:p>
    <w:p w14:paraId="7054B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2.辖区内年营业收入1000万元及以上服务业法人单位。包括：租赁和商务服务业，科学研究和技术服务业，教育三个门类，以及物业管理、房地产中介服务、房地产租赁经营和其他房地产业四个行业小类。</w:t>
      </w:r>
    </w:p>
    <w:p w14:paraId="7053F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3.辖区内年营业收入500万元及以上服务业法人单位。包括：居民服务、修理和其他服务业，文化、体育和娱乐业两个门类，以及社会工作行业大类。</w:t>
      </w:r>
    </w:p>
    <w:p w14:paraId="1047D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none"/>
          <w:lang w:val="en-US" w:eastAsia="zh-CN"/>
        </w:rPr>
        <w:t>注：摘自《规模以上服务业统计报表制度》（2024年统计年报和2025年定期统计报表）第一点第（三）项统计范围。</w:t>
      </w:r>
    </w:p>
    <w:p w14:paraId="70A99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rightChars="0" w:firstLine="65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u w:val="single"/>
          <w:lang w:val="en-US" w:eastAsia="zh-CN"/>
        </w:rPr>
      </w:pPr>
    </w:p>
    <w:p w14:paraId="2F7A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snapToGrid w:val="0"/>
          <w:kern w:val="0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17" w:right="1587" w:bottom="1417" w:left="1587" w:header="851" w:footer="1502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6BABA8-E224-4CEC-B1B5-DF94C2F1F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05C71C-952F-46C1-97CE-7942B6022E6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90C247-E2DA-482F-A06D-DC24A0C7FF3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216CA3-43C2-48EE-91BA-8BF55B2AA7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76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F49E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F49E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HorizontalSpacing w:val="118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2595"/>
    <w:rsid w:val="02052599"/>
    <w:rsid w:val="04D23811"/>
    <w:rsid w:val="05D9297D"/>
    <w:rsid w:val="06715AB5"/>
    <w:rsid w:val="07261BF2"/>
    <w:rsid w:val="090E0B90"/>
    <w:rsid w:val="0B0841A8"/>
    <w:rsid w:val="0CEA5470"/>
    <w:rsid w:val="0E3C6626"/>
    <w:rsid w:val="11276C93"/>
    <w:rsid w:val="11FB748E"/>
    <w:rsid w:val="123B4946"/>
    <w:rsid w:val="17832749"/>
    <w:rsid w:val="18665E69"/>
    <w:rsid w:val="1AD80FFE"/>
    <w:rsid w:val="1C273FEB"/>
    <w:rsid w:val="1CA71F00"/>
    <w:rsid w:val="1F552C1D"/>
    <w:rsid w:val="225B2C40"/>
    <w:rsid w:val="23AB72AF"/>
    <w:rsid w:val="25290C6E"/>
    <w:rsid w:val="2545141C"/>
    <w:rsid w:val="264A51B5"/>
    <w:rsid w:val="2D5862F2"/>
    <w:rsid w:val="2EA36625"/>
    <w:rsid w:val="2F436F36"/>
    <w:rsid w:val="30DA5678"/>
    <w:rsid w:val="313B4368"/>
    <w:rsid w:val="36392E40"/>
    <w:rsid w:val="3BBA232E"/>
    <w:rsid w:val="3D1D0DC6"/>
    <w:rsid w:val="3D3659E4"/>
    <w:rsid w:val="3EF53F92"/>
    <w:rsid w:val="3F5439D2"/>
    <w:rsid w:val="3FE756BB"/>
    <w:rsid w:val="40181D19"/>
    <w:rsid w:val="437159C8"/>
    <w:rsid w:val="43851473"/>
    <w:rsid w:val="48C06AA9"/>
    <w:rsid w:val="4A3C6604"/>
    <w:rsid w:val="4AB4263E"/>
    <w:rsid w:val="4BF4363A"/>
    <w:rsid w:val="4C6D6F48"/>
    <w:rsid w:val="4D381304"/>
    <w:rsid w:val="4D64241B"/>
    <w:rsid w:val="4DC96311"/>
    <w:rsid w:val="50EF2A55"/>
    <w:rsid w:val="53762B86"/>
    <w:rsid w:val="547E7F44"/>
    <w:rsid w:val="54ED0C26"/>
    <w:rsid w:val="56097CE2"/>
    <w:rsid w:val="56777341"/>
    <w:rsid w:val="575C550F"/>
    <w:rsid w:val="5B3D3F8A"/>
    <w:rsid w:val="5B9C5154"/>
    <w:rsid w:val="5C8C51C9"/>
    <w:rsid w:val="5F0B4ACB"/>
    <w:rsid w:val="65331F13"/>
    <w:rsid w:val="666B09FB"/>
    <w:rsid w:val="67714504"/>
    <w:rsid w:val="68916F6D"/>
    <w:rsid w:val="6C3167E1"/>
    <w:rsid w:val="6E553A2D"/>
    <w:rsid w:val="6F135DB2"/>
    <w:rsid w:val="6FF9271D"/>
    <w:rsid w:val="6FFB0CCF"/>
    <w:rsid w:val="70E707C8"/>
    <w:rsid w:val="71EE7F96"/>
    <w:rsid w:val="73D43285"/>
    <w:rsid w:val="744C75B3"/>
    <w:rsid w:val="77EF68E0"/>
    <w:rsid w:val="78810918"/>
    <w:rsid w:val="79DF2984"/>
    <w:rsid w:val="7C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qFormat/>
    <w:uiPriority w:val="0"/>
    <w:pPr>
      <w:kinsoku/>
      <w:autoSpaceDE w:val="0"/>
      <w:autoSpaceDN w:val="0"/>
      <w:adjustRightInd w:val="0"/>
      <w:snapToGrid w:val="0"/>
      <w:spacing w:line="600" w:lineRule="exact"/>
      <w:ind w:firstLine="420" w:firstLineChars="200"/>
      <w:textAlignment w:val="baseline"/>
    </w:pPr>
    <w:rPr>
      <w:rFonts w:ascii="Calibri" w:hAnsi="Calibri" w:eastAsia="仿宋_GB2312" w:cs="Times New Roman"/>
      <w:snapToGrid w:val="0"/>
      <w:color w:val="000000"/>
      <w:kern w:val="0"/>
      <w:sz w:val="30"/>
      <w:szCs w:val="24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2330</Characters>
  <Lines>0</Lines>
  <Paragraphs>0</Paragraphs>
  <TotalTime>38</TotalTime>
  <ScaleCrop>false</ScaleCrop>
  <LinksUpToDate>false</LinksUpToDate>
  <CharactersWithSpaces>2330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2025-09-15T02:27:00Z</dcterms:created>
  <dc:creator>Administrator</dc:creator>
  <cp:lastModifiedBy>hyxr</cp:lastModifiedBy>
  <cp:lastPrinted>2026-01-27T07:43:00Z</cp:lastPrinted>
  <dcterms:modified xsi:type="dcterms:W3CDTF">2026-02-04T02:24:43Z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eyJoZGlkIjoiOTNlYTMzZjhhNTdmYzY0OGRlOTA1MDM4ZDk4Y2I4ZTEiLCJ1c2VySWQiOiI3MTY4NDI1MDEifQ==</vt:lpwstr>
  </property>
  <property fmtid="{D5CDD505-2E9C-101B-9397-08002B2CF9AE}" pid="4" name="ICV">
    <vt:lpwstr>C81821FE4C184EF3BB37D560BEC60EBE_13</vt:lpwstr>
  </property>
</Properties>
</file>