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C5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napToGrid w:val="0"/>
          <w:spacing w:val="0"/>
          <w:ker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b w:val="0"/>
          <w:bCs w:val="0"/>
          <w:snapToGrid w:val="0"/>
          <w:spacing w:val="0"/>
          <w:kern w:val="0"/>
          <w:sz w:val="40"/>
          <w:szCs w:val="40"/>
        </w:rPr>
        <w:t>关于鼓励限额以上商贸企业</w:t>
      </w:r>
      <w:r>
        <w:rPr>
          <w:rFonts w:hint="eastAsia" w:ascii="宋体" w:hAnsi="宋体" w:eastAsia="方正小标宋_GBK" w:cs="方正小标宋_GBK"/>
          <w:b w:val="0"/>
          <w:bCs w:val="0"/>
          <w:snapToGrid w:val="0"/>
          <w:spacing w:val="0"/>
          <w:kern w:val="0"/>
          <w:sz w:val="40"/>
          <w:szCs w:val="40"/>
          <w:lang w:val="en-US" w:eastAsia="zh-CN"/>
        </w:rPr>
        <w:t>和规模以上服务业</w:t>
      </w:r>
    </w:p>
    <w:p w14:paraId="4D3E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napToGrid w:val="0"/>
          <w:color w:val="000000"/>
          <w:spacing w:val="0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napToGrid w:val="0"/>
          <w:spacing w:val="0"/>
          <w:kern w:val="0"/>
          <w:sz w:val="40"/>
          <w:szCs w:val="40"/>
          <w:lang w:val="en-US" w:eastAsia="zh-CN"/>
        </w:rPr>
        <w:t>企业</w:t>
      </w:r>
      <w:r>
        <w:rPr>
          <w:rFonts w:hint="eastAsia" w:ascii="宋体" w:hAnsi="宋体" w:eastAsia="方正小标宋_GBK" w:cs="方正小标宋_GBK"/>
          <w:b w:val="0"/>
          <w:bCs w:val="0"/>
          <w:snapToGrid w:val="0"/>
          <w:spacing w:val="0"/>
          <w:kern w:val="0"/>
          <w:sz w:val="40"/>
          <w:szCs w:val="40"/>
        </w:rPr>
        <w:t>加快发展</w:t>
      </w:r>
      <w:r>
        <w:rPr>
          <w:rFonts w:hint="eastAsia" w:ascii="宋体" w:hAnsi="宋体" w:eastAsia="方正小标宋_GBK" w:cs="方正小标宋_GBK"/>
          <w:b w:val="0"/>
          <w:bCs w:val="0"/>
          <w:snapToGrid w:val="0"/>
          <w:spacing w:val="0"/>
          <w:kern w:val="0"/>
          <w:sz w:val="40"/>
          <w:szCs w:val="40"/>
          <w:lang w:val="en-US" w:eastAsia="zh-CN"/>
        </w:rPr>
        <w:t>若干政策措施</w:t>
      </w:r>
    </w:p>
    <w:p w14:paraId="7C008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right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</w:p>
    <w:p w14:paraId="74F6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right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为加快推进限额以上商贸企业和规模以上服务业企业发展，充分发挥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其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在商贸流通及服务业中的示范引领和支撑带动作用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推动我县消费平稳增长，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根据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eastAsia="zh-CN"/>
        </w:rPr>
        <w:t>《中华人民共和国民营经济促进法》《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val="en-US" w:eastAsia="zh-CN"/>
        </w:rPr>
        <w:t>广东省人民政府关于印发〈广东省促进服务消费高质量发展若干措施〉的通知》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val="en-US" w:eastAsia="zh-CN"/>
        </w:rPr>
        <w:t>粤府函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〔202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5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〕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16号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eastAsia="zh-CN"/>
        </w:rPr>
        <w:t>）、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《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广东省商务厅等9部门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关于印发支持商贸主体达限纳统应统尽统的若干措施的通知》（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粤商务建函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〔202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5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〕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146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号）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等有关文件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结合我县实际，制定本政策措施。</w:t>
      </w:r>
    </w:p>
    <w:p w14:paraId="3C375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一、扶持</w:t>
      </w: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对象</w:t>
      </w:r>
    </w:p>
    <w:p w14:paraId="2E779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right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  <w:t>在我县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</w:rPr>
        <w:t>依法从事批发、零售、住宿、餐饮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  <w:t>类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</w:rPr>
        <w:t>商贸企业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  <w:t>（含个体户）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</w:rPr>
        <w:t>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  <w:t>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</w:rPr>
        <w:t>。</w:t>
      </w:r>
    </w:p>
    <w:p w14:paraId="59247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二、认定标准</w:t>
      </w:r>
    </w:p>
    <w:p w14:paraId="35AF8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right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一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）年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主营业务收入达到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限额以上的批发、零售、住宿、餐饮类商贸企业（含个体户）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。</w:t>
      </w:r>
    </w:p>
    <w:p w14:paraId="633B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right="0" w:firstLine="650" w:firstLineChars="200"/>
        <w:jc w:val="both"/>
        <w:textAlignment w:val="auto"/>
        <w:rPr>
          <w:rFonts w:hint="default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二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）年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营业收入达到规模以上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的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服务业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企业。（具体标准详见附件）</w:t>
      </w:r>
    </w:p>
    <w:p w14:paraId="0EED1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三、扶持方式</w:t>
      </w:r>
    </w:p>
    <w:p w14:paraId="0A8E7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（一）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首次上限的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批发、零售、住宿、餐饮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类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商贸企业（含个体户）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首次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上规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服务业企业，第一年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给予奖励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10万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元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，第二年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商贸企业（含个体户）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主营业务收入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、服务业企业营业收入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增速对比上年增长25%以上的，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给予奖励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5万元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以上奖励资金不含省市奖补资金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）。</w:t>
      </w:r>
    </w:p>
    <w:p w14:paraId="26C0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（二）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当年主营业务收入增速高于全县社会消费品零售总额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以12月月报为准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增速10%以上的限额以上商贸企业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（含个体户）、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highlight w:val="none"/>
          <w:u w:val="none"/>
        </w:rPr>
        <w:t>当年营业收入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增速高于全县服务业总额增速10%以上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规模以上服务业企业，给予奖励1万元。</w:t>
      </w:r>
    </w:p>
    <w:p w14:paraId="5FF7A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（三）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鼓励工业、农业企业创办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限额以上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商贸企业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或规模以上服务业企业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。工业、农业企业将营销、服务部门单独设立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为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商贸法人企业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或服务业企业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，且被认定为限额以上商贸企业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或规模以上服务业企业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的，享受同等待遇。</w:t>
      </w:r>
    </w:p>
    <w:p w14:paraId="462F9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（四）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鼓励个体工商户通过多种形式组建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限额以上商贸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或规模以上服务业企业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。对创新商贸企业组建形式，通过专业合作社、企业联盟、股份合作、连锁经营等形式，将餐饮、住宿、交通运输等行业中的个体工商户合作组建为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限额以上商贸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或规模以上服务业企业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的，享受同等待遇。</w:t>
      </w:r>
    </w:p>
    <w:p w14:paraId="75A5B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四、申报程序</w:t>
      </w:r>
    </w:p>
    <w:p w14:paraId="10A08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（一）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新增限额以上商贸企业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（含个体户）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和规模以上服务业企业一次性奖励。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由县工商信局组织新上限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商贸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企业</w:t>
      </w:r>
      <w:r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</w:rPr>
        <w:t>（含个体户）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申报奖励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县统计局组织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新上规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申报奖励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，申报材料经县统计局核实确认后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 w:themeColor="text1"/>
          <w:spacing w:val="0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上限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 w:themeColor="text1"/>
          <w:spacing w:val="0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u w:val="none"/>
        </w:rPr>
        <w:t>认定以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u w:val="none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u w:val="none"/>
        </w:rPr>
        <w:t>统计部门批复为准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u w:val="none"/>
          <w:lang w:eastAsia="zh-CN"/>
        </w:rPr>
        <w:t>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由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</w:rPr>
        <w:t>县工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商信局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县统计局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按程序报县政府审定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后拨付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奖金。</w:t>
      </w:r>
    </w:p>
    <w:p w14:paraId="51071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74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eastAsia="zh-CN"/>
        </w:rPr>
        <w:t>（二）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限额以上商贸企业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eastAsia="zh-CN"/>
        </w:rPr>
        <w:t>（含个体户）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和规模以上服务业企业发展增速达标奖励。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当年主营业务收入增速高于全县社会消费品零售总额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val="en-US" w:eastAsia="zh-CN"/>
        </w:rPr>
        <w:t>以12月月报为准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eastAsia="zh-CN"/>
        </w:rPr>
        <w:t>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增速10%以上的限额以上商贸企业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eastAsia="zh-CN"/>
        </w:rPr>
        <w:t>（含个体户）、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highlight w:val="none"/>
          <w:u w:val="none"/>
        </w:rPr>
        <w:t>当年营业收入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增速高于全县服务业总额增速10%以上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eastAsia="zh-CN"/>
        </w:rPr>
        <w:t>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规模以上服务业企业，由县工商信局组织企业申报奖励，经县统计局核实确认后，由县工商信局按程序报县政府审定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val="en-US" w:eastAsia="zh-CN"/>
        </w:rPr>
        <w:t>后拨付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奖金。</w:t>
      </w:r>
    </w:p>
    <w:p w14:paraId="758E9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五、奖励资金来源</w:t>
      </w:r>
    </w:p>
    <w:p w14:paraId="39208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本政策措施涉及的商贸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企业（含个体户）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、服务业企业奖励资金，纳入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财政年度预算安排。</w:t>
      </w:r>
    </w:p>
    <w:p w14:paraId="68C46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六、资金监督管理</w:t>
      </w:r>
    </w:p>
    <w:p w14:paraId="6D5F8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（一）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县财政局负责奖补资金的预算安排、资金拨付，组织开展绩效管理，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并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对资金支出进行监督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。</w:t>
      </w:r>
    </w:p>
    <w:p w14:paraId="21EEE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（二）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相关企业和个人获得的扶持资金应用于项目的经营管理专项开支，单独核算，专款专用。任何单位和个人不得以任何理由截留、挤占、挪用。对违反规定的有关单位和个人将依法追究责任。</w:t>
      </w:r>
    </w:p>
    <w:p w14:paraId="57015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（三）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获得专项资金扶持的企业有下列情形之一的，将视情节轻重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予以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通报批评、追缴扣回奖励资金等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处罚，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情节严重的，取消以后年度申报资格：</w:t>
      </w:r>
    </w:p>
    <w:p w14:paraId="4C3D0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提供虚假材料，骗取奖励资金的；</w:t>
      </w:r>
    </w:p>
    <w:p w14:paraId="586E7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有侵犯知识产权行为的；</w:t>
      </w:r>
    </w:p>
    <w:p w14:paraId="32DA4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不按规定使用奖励资金的。</w:t>
      </w:r>
    </w:p>
    <w:p w14:paraId="255DC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七、附则</w:t>
      </w:r>
    </w:p>
    <w:p w14:paraId="5D5FD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u w:val="none"/>
        </w:rPr>
      </w:pPr>
      <w:r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u w:val="none"/>
        </w:rPr>
        <w:t>（一）本政策措施自2025年11月9日起实施，有效期3年。在实施过程中与新出台的法律、法规、规章或上级部门政策不一致的，以法律、法规、规章或上级部门政策规定为准。</w:t>
      </w:r>
    </w:p>
    <w:p w14:paraId="6443E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u w:val="none"/>
        </w:rPr>
      </w:pPr>
      <w:r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u w:val="none"/>
        </w:rPr>
        <w:t>（二）本政策措施由县工业商务和信息化局负责解释。</w:t>
      </w:r>
    </w:p>
    <w:p w14:paraId="46447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1300" w:firstLineChars="400"/>
        <w:jc w:val="both"/>
        <w:textAlignment w:val="auto"/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u w:val="single"/>
        </w:rPr>
      </w:pPr>
    </w:p>
    <w:p w14:paraId="5A93A52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u w:val="none"/>
          <w:lang w:eastAsia="zh-CN"/>
        </w:rPr>
        <w:t>附件：</w:t>
      </w:r>
      <w:r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</w:rPr>
        <w:t>限额以上商贸企业和规模以上服务业</w:t>
      </w:r>
      <w:r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lang w:eastAsia="zh-CN"/>
        </w:rPr>
        <w:t>企业认定标准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br w:type="page"/>
      </w:r>
    </w:p>
    <w:p w14:paraId="7564D3B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 w:rightChars="0" w:firstLine="0" w:firstLineChars="0"/>
        <w:jc w:val="left"/>
        <w:textAlignment w:val="auto"/>
        <w:rPr>
          <w:rFonts w:hint="eastAsia" w:ascii="宋体" w:hAnsi="宋体" w:eastAsia="黑体" w:cs="黑体"/>
          <w:b w:val="0"/>
          <w:bCs w:val="0"/>
          <w:snapToGrid/>
          <w:color w:val="auto"/>
          <w:spacing w:val="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/>
          <w:color w:val="auto"/>
          <w:spacing w:val="0"/>
          <w:kern w:val="2"/>
          <w:sz w:val="28"/>
          <w:szCs w:val="28"/>
          <w:shd w:val="clear" w:color="auto" w:fill="auto"/>
          <w:lang w:val="en-US" w:eastAsia="zh-CN"/>
        </w:rPr>
        <w:t>附件</w:t>
      </w:r>
    </w:p>
    <w:p w14:paraId="3AA99BD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 w:rightChars="0" w:firstLine="0" w:firstLineChars="0"/>
        <w:jc w:val="left"/>
        <w:textAlignment w:val="auto"/>
        <w:rPr>
          <w:rFonts w:hint="eastAsia" w:ascii="宋体" w:hAnsi="宋体" w:eastAsia="黑体" w:cs="黑体"/>
          <w:b w:val="0"/>
          <w:bCs w:val="0"/>
          <w:snapToGrid/>
          <w:color w:val="auto"/>
          <w:spacing w:val="0"/>
          <w:kern w:val="2"/>
          <w:sz w:val="28"/>
          <w:szCs w:val="28"/>
          <w:shd w:val="clear" w:color="auto" w:fill="auto"/>
          <w:lang w:val="en-US" w:eastAsia="zh-CN"/>
        </w:rPr>
      </w:pPr>
    </w:p>
    <w:p w14:paraId="0A418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</w:rPr>
        <w:t>限额以上商贸企业和规模以上服务业</w:t>
      </w: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  <w:lang w:eastAsia="zh-CN"/>
        </w:rPr>
        <w:t>企业</w:t>
      </w:r>
    </w:p>
    <w:p w14:paraId="1A8D0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napToGrid w:val="0"/>
          <w:color w:val="000000"/>
          <w:spacing w:val="0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</w:rPr>
        <w:t>认定标准</w:t>
      </w:r>
    </w:p>
    <w:p w14:paraId="29101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</w:p>
    <w:p w14:paraId="53F4C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  <w:t>批发和零售业统计限额标准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983"/>
        <w:gridCol w:w="2983"/>
      </w:tblGrid>
      <w:tr w14:paraId="188F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6452C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2983" w:type="dxa"/>
          </w:tcPr>
          <w:p w14:paraId="30E59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统计指标名称</w:t>
            </w:r>
          </w:p>
        </w:tc>
        <w:tc>
          <w:tcPr>
            <w:tcW w:w="2983" w:type="dxa"/>
          </w:tcPr>
          <w:p w14:paraId="662C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限额标准</w:t>
            </w:r>
          </w:p>
        </w:tc>
      </w:tr>
      <w:tr w14:paraId="7DCA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04493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批发业</w:t>
            </w:r>
          </w:p>
        </w:tc>
        <w:tc>
          <w:tcPr>
            <w:tcW w:w="2983" w:type="dxa"/>
          </w:tcPr>
          <w:p w14:paraId="326DA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年主营业务收入</w:t>
            </w:r>
          </w:p>
        </w:tc>
        <w:tc>
          <w:tcPr>
            <w:tcW w:w="2983" w:type="dxa"/>
          </w:tcPr>
          <w:p w14:paraId="11094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2000万元</w:t>
            </w:r>
          </w:p>
        </w:tc>
      </w:tr>
      <w:tr w14:paraId="7F51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1EDEA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零售业</w:t>
            </w:r>
          </w:p>
        </w:tc>
        <w:tc>
          <w:tcPr>
            <w:tcW w:w="2983" w:type="dxa"/>
          </w:tcPr>
          <w:p w14:paraId="7CB0D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年主营业务收入</w:t>
            </w:r>
          </w:p>
        </w:tc>
        <w:tc>
          <w:tcPr>
            <w:tcW w:w="2983" w:type="dxa"/>
          </w:tcPr>
          <w:p w14:paraId="3C429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500万元</w:t>
            </w:r>
          </w:p>
        </w:tc>
      </w:tr>
    </w:tbl>
    <w:p w14:paraId="06BC4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53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注：摘自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eastAsia="zh-CN"/>
        </w:rPr>
        <w:t>《批发和零售业统计报表制度》（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2024年统计年报和2025年定期统计报表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eastAsia="zh-CN"/>
        </w:rPr>
        <w:t>）第四点第（三）项批发和零售业统计限额标准。</w:t>
      </w:r>
    </w:p>
    <w:p w14:paraId="7F443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</w:pPr>
    </w:p>
    <w:p w14:paraId="50945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  <w:t>住宿和餐饮业统计限额标准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983"/>
        <w:gridCol w:w="2983"/>
      </w:tblGrid>
      <w:tr w14:paraId="4CF5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shd w:val="clear" w:color="auto" w:fill="auto"/>
            <w:vAlign w:val="center"/>
          </w:tcPr>
          <w:p w14:paraId="0F3E4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45DC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统计指标名称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C705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限额标准</w:t>
            </w:r>
          </w:p>
        </w:tc>
      </w:tr>
      <w:tr w14:paraId="57B6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center"/>
          </w:tcPr>
          <w:p w14:paraId="671E0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住宿业</w:t>
            </w:r>
          </w:p>
        </w:tc>
        <w:tc>
          <w:tcPr>
            <w:tcW w:w="2983" w:type="dxa"/>
            <w:vMerge w:val="restart"/>
            <w:vAlign w:val="center"/>
          </w:tcPr>
          <w:p w14:paraId="52A55E01"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000000"/>
                <w:kern w:val="0"/>
                <w:sz w:val="24"/>
                <w:u w:val="none"/>
              </w:rPr>
              <w:t>年主营业务收入</w:t>
            </w:r>
          </w:p>
        </w:tc>
        <w:tc>
          <w:tcPr>
            <w:tcW w:w="2983" w:type="dxa"/>
            <w:vMerge w:val="restart"/>
            <w:vAlign w:val="center"/>
          </w:tcPr>
          <w:p w14:paraId="2BB4755E"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200万元</w:t>
            </w:r>
          </w:p>
        </w:tc>
      </w:tr>
      <w:tr w14:paraId="72DF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center"/>
          </w:tcPr>
          <w:p w14:paraId="34FED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餐饮业</w:t>
            </w:r>
          </w:p>
        </w:tc>
        <w:tc>
          <w:tcPr>
            <w:tcW w:w="2983" w:type="dxa"/>
            <w:vMerge w:val="continue"/>
            <w:vAlign w:val="center"/>
          </w:tcPr>
          <w:p w14:paraId="5CF98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83" w:type="dxa"/>
            <w:vMerge w:val="continue"/>
            <w:vAlign w:val="center"/>
          </w:tcPr>
          <w:p w14:paraId="40731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18120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53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注：摘自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eastAsia="zh-CN"/>
        </w:rPr>
        <w:t>《住宿和餐饮业统计报表制度》（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2024年统计年报和2025年定期统计报表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eastAsia="zh-CN"/>
        </w:rPr>
        <w:t>）第四点第（三）项住宿和餐饮业统计限额标准。</w:t>
      </w:r>
    </w:p>
    <w:p w14:paraId="4A2B4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</w:p>
    <w:p w14:paraId="06E5D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</w:p>
    <w:p w14:paraId="320D1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</w:p>
    <w:p w14:paraId="12542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kern w:val="0"/>
          <w:sz w:val="40"/>
          <w:szCs w:val="40"/>
          <w:u w:val="none"/>
          <w:lang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kern w:val="0"/>
          <w:sz w:val="40"/>
          <w:szCs w:val="40"/>
          <w:u w:val="none"/>
          <w:lang w:eastAsia="zh-CN"/>
        </w:rPr>
        <w:t>规模以上服务业企业认定标准</w:t>
      </w:r>
    </w:p>
    <w:p w14:paraId="33232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</w:pPr>
    </w:p>
    <w:p w14:paraId="4FC48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  <w:t>1.辖区内年营业收入2000万元及以上服务业法人单位。包括：交通运输、仓储和邮政业，信息传输、软件和信息技术服务业，水利、环境和公共设施管理业三个门类和卫生行业大类。</w:t>
      </w:r>
    </w:p>
    <w:p w14:paraId="52802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  <w:t>2.辖区内年营业收入1000万元及以上服务业法人单位。包括：租赁和商务服务业，科学研究和技术服务业，教育三个门类，以及物业管理、房地产中介服务、房地产租赁经营和其他房地产业四个行业小类。</w:t>
      </w:r>
    </w:p>
    <w:p w14:paraId="60774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  <w:t>3.辖区内年营业收入500万元及以上服务业法人单位。包括：居民服务、修理和其他服务业，文化、体育和娱乐业两个门类，以及社会工作行业大类。</w:t>
      </w:r>
    </w:p>
    <w:p w14:paraId="0E911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  <w:t>注：摘自《规模以上服务业统计报表制度》（2024年统计年报和2025年定期统计报表）第一点第（三）项统计范围。</w:t>
      </w:r>
    </w:p>
    <w:p w14:paraId="75A36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single"/>
          <w:lang w:val="en-US" w:eastAsia="zh-CN"/>
        </w:rPr>
      </w:pPr>
    </w:p>
    <w:p w14:paraId="3A83E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仿宋_GB2312"/>
          <w:snapToGrid w:val="0"/>
          <w:kern w:val="0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17" w:right="1587" w:bottom="1417" w:left="1587" w:header="851" w:footer="1502" w:gutter="0"/>
      <w:pgNumType w:fmt="decimal"/>
      <w:cols w:space="0" w:num="1"/>
      <w:rtlGutter w:val="0"/>
      <w:docGrid w:type="linesAndChars" w:linePitch="605" w:charSpace="5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3C3ACE-AD94-4D64-9A75-97C9E236C4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F165B65-70EA-4384-86B2-65F06D6F4DD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040957-6DFC-4EA4-B31D-F77E9B3996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0A8CD3A-9312-4FC7-BC07-61567BA105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DE3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3EAE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3EAE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dit="trackedChanges" w:enforcement="0"/>
  <w:defaultTabStop w:val="420"/>
  <w:drawingGridHorizontalSpacing w:val="118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2595"/>
    <w:rsid w:val="02052599"/>
    <w:rsid w:val="04D23811"/>
    <w:rsid w:val="05D9297D"/>
    <w:rsid w:val="06715AB5"/>
    <w:rsid w:val="07261BF2"/>
    <w:rsid w:val="090E0B90"/>
    <w:rsid w:val="0A455E8A"/>
    <w:rsid w:val="0B0841A8"/>
    <w:rsid w:val="0CEA5470"/>
    <w:rsid w:val="0E3C6626"/>
    <w:rsid w:val="11276C93"/>
    <w:rsid w:val="11FB748E"/>
    <w:rsid w:val="123B4946"/>
    <w:rsid w:val="17832749"/>
    <w:rsid w:val="18665E69"/>
    <w:rsid w:val="1AD80FFE"/>
    <w:rsid w:val="1C273FEB"/>
    <w:rsid w:val="1CA71F00"/>
    <w:rsid w:val="1F552C1D"/>
    <w:rsid w:val="225B2C40"/>
    <w:rsid w:val="23AB72AF"/>
    <w:rsid w:val="25290C6E"/>
    <w:rsid w:val="2545141C"/>
    <w:rsid w:val="264A51B5"/>
    <w:rsid w:val="299F7008"/>
    <w:rsid w:val="2D5862F2"/>
    <w:rsid w:val="2EA36625"/>
    <w:rsid w:val="2F436F36"/>
    <w:rsid w:val="30DA5678"/>
    <w:rsid w:val="313B4368"/>
    <w:rsid w:val="36392E40"/>
    <w:rsid w:val="3BBA232E"/>
    <w:rsid w:val="3D1D0DC6"/>
    <w:rsid w:val="3D3659E4"/>
    <w:rsid w:val="3F5439D2"/>
    <w:rsid w:val="3FE756BB"/>
    <w:rsid w:val="40181D19"/>
    <w:rsid w:val="437159C8"/>
    <w:rsid w:val="43851473"/>
    <w:rsid w:val="48C06AA9"/>
    <w:rsid w:val="4A3C6604"/>
    <w:rsid w:val="4AB4263E"/>
    <w:rsid w:val="4BF4363A"/>
    <w:rsid w:val="4C6D6F48"/>
    <w:rsid w:val="4D381304"/>
    <w:rsid w:val="4D64241B"/>
    <w:rsid w:val="4DC96311"/>
    <w:rsid w:val="50EF2A55"/>
    <w:rsid w:val="53762B86"/>
    <w:rsid w:val="547E7F44"/>
    <w:rsid w:val="54ED0C26"/>
    <w:rsid w:val="56097CE2"/>
    <w:rsid w:val="56777341"/>
    <w:rsid w:val="575C550F"/>
    <w:rsid w:val="5B3D3F8A"/>
    <w:rsid w:val="5B9C5154"/>
    <w:rsid w:val="5C8C51C9"/>
    <w:rsid w:val="5F0B4ACB"/>
    <w:rsid w:val="65331F13"/>
    <w:rsid w:val="666B09FB"/>
    <w:rsid w:val="67714504"/>
    <w:rsid w:val="68916F6D"/>
    <w:rsid w:val="6C3167E1"/>
    <w:rsid w:val="6E553A2D"/>
    <w:rsid w:val="6F135DB2"/>
    <w:rsid w:val="6FF9271D"/>
    <w:rsid w:val="6FFB0CCF"/>
    <w:rsid w:val="70E707C8"/>
    <w:rsid w:val="71EE7F96"/>
    <w:rsid w:val="73D43285"/>
    <w:rsid w:val="744C75B3"/>
    <w:rsid w:val="77EF68E0"/>
    <w:rsid w:val="78810918"/>
    <w:rsid w:val="79DF2984"/>
    <w:rsid w:val="7CF9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Indent"/>
    <w:basedOn w:val="1"/>
    <w:qFormat/>
    <w:uiPriority w:val="0"/>
    <w:pPr>
      <w:kinsoku/>
      <w:autoSpaceDE w:val="0"/>
      <w:autoSpaceDN w:val="0"/>
      <w:adjustRightInd w:val="0"/>
      <w:snapToGrid w:val="0"/>
      <w:spacing w:line="600" w:lineRule="exact"/>
      <w:ind w:firstLine="420" w:firstLineChars="200"/>
      <w:textAlignment w:val="baseline"/>
    </w:pPr>
    <w:rPr>
      <w:rFonts w:ascii="Calibri" w:hAnsi="Calibri" w:eastAsia="仿宋_GB2312" w:cs="Times New Roman"/>
      <w:snapToGrid w:val="0"/>
      <w:color w:val="000000"/>
      <w:kern w:val="0"/>
      <w:sz w:val="30"/>
      <w:szCs w:val="24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0924bb29-6ba5-4238-9c55-0ee6765681a7</errorID>
      <errorWord>县</errorWord>
      <group>L1_Word</group>
      <groupName>字词问题</groupName>
      <ability>L2_Typo</ability>
      <abilityName>字词错误</abilityName>
      <candidateList>
        <item>县政</item>
      </candidateList>
      <explain/>
      <paraID>71D8DF4A</paraID>
      <start>7</start>
      <end>8</end>
      <status>unmodified</status>
      <modifiedWord/>
      <trackRevisions>false</trackRevisions>
    </reviewItem>
    <reviewItem>
      <errorID>47fc29bf-4990-460d-875d-367c06b9dc37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5D5FD2A1</paraID>
      <start>40</start>
      <end>45</end>
      <status>unmodified</status>
      <modifiedWord/>
      <trackRevisions>false</trackRevisions>
    </reviewItem>
    <reviewItem>
      <errorID>4c3288c0-4efb-4bc7-b840-015c377c9b9c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5D5FD2A1</paraID>
      <start>61</start>
      <end>66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13c360-6f14-4413-91e5-3368c82ad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2245</Words>
  <Characters>2330</Characters>
  <Lines>0</Lines>
  <Paragraphs>0</Paragraphs>
  <TotalTime>39</TotalTime>
  <ScaleCrop>false</ScaleCrop>
  <LinksUpToDate>false</LinksUpToDate>
  <CharactersWithSpaces>2330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2025-09-15T02:27:00Z</dcterms:created>
  <dc:creator>Administrator</dc:creator>
  <cp:lastModifiedBy>hyxr</cp:lastModifiedBy>
  <cp:lastPrinted>2026-01-27T07:43:00Z</cp:lastPrinted>
  <dcterms:modified xsi:type="dcterms:W3CDTF">2026-01-30T06:55:47Z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eyJoZGlkIjoiOTNlYTMzZjhhNTdmYzY0OGRlOTA1MDM4ZDk4Y2I4ZTEiLCJ1c2VySWQiOiI3MTY4NDI1MDEifQ==</vt:lpwstr>
  </property>
  <property fmtid="{D5CDD505-2E9C-101B-9397-08002B2CF9AE}" pid="4" name="ICV">
    <vt:lpwstr>C81821FE4C184EF3BB37D560BEC60EBE_13</vt:lpwstr>
  </property>
</Properties>
</file>