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D136F">
      <w:pPr>
        <w:pStyle w:val="2"/>
        <w:bidi w:val="0"/>
        <w:rPr>
          <w:rFonts w:hint="eastAsia" w:ascii="方正小标宋_GBK" w:hAnsi="方正小标宋_GBK" w:eastAsia="方正小标宋_GBK" w:cs="方正小标宋_GBK"/>
          <w:color w:val="auto"/>
          <w:highlight w:val="none"/>
          <w:u w:val="none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highlight w:val="none"/>
          <w:u w:val="none"/>
          <w:lang w:eastAsia="zh-CN"/>
        </w:rPr>
        <w:t>河源</w:t>
      </w:r>
      <w:r>
        <w:rPr>
          <w:rFonts w:hint="eastAsia" w:ascii="方正小标宋_GBK" w:hAnsi="方正小标宋_GBK" w:eastAsia="方正小标宋_GBK" w:cs="方正小标宋_GBK"/>
          <w:color w:val="auto"/>
          <w:highlight w:val="none"/>
          <w:u w:val="none"/>
        </w:rPr>
        <w:t>市农村宅基地和农房建设管控实施意见</w:t>
      </w:r>
    </w:p>
    <w:p w14:paraId="54F8D485">
      <w:pPr>
        <w:rPr>
          <w:rFonts w:hint="eastAsia"/>
          <w:color w:val="auto"/>
          <w:highlight w:val="none"/>
          <w:u w:val="none"/>
        </w:rPr>
      </w:pPr>
    </w:p>
    <w:p w14:paraId="7BE15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</w:rPr>
      </w:pPr>
      <w:r>
        <w:rPr>
          <w:rFonts w:hint="eastAsia"/>
          <w:color w:val="auto"/>
          <w:highlight w:val="none"/>
          <w:u w:val="none"/>
        </w:rPr>
        <w:t>为进一步规范农村宅基地和农房建设管理，切实保障农村村民居住权益，加快建设宜居宜业和美乡村，根据</w:t>
      </w:r>
      <w:r>
        <w:rPr>
          <w:rFonts w:hint="eastAsia"/>
          <w:color w:val="auto"/>
          <w:highlight w:val="none"/>
          <w:u w:val="none"/>
          <w:lang w:eastAsia="zh-CN"/>
        </w:rPr>
        <w:t>相</w:t>
      </w:r>
      <w:r>
        <w:rPr>
          <w:rFonts w:hint="eastAsia"/>
          <w:color w:val="auto"/>
          <w:highlight w:val="none"/>
          <w:u w:val="none"/>
        </w:rPr>
        <w:t>关法律法规及政策规定，结合我市实际，制定本实施意见。</w:t>
      </w:r>
    </w:p>
    <w:p w14:paraId="26BAAB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color w:val="auto"/>
          <w:highlight w:val="none"/>
          <w:u w:val="none"/>
        </w:rPr>
      </w:pPr>
      <w:r>
        <w:rPr>
          <w:rFonts w:hint="eastAsia"/>
          <w:color w:val="auto"/>
          <w:highlight w:val="none"/>
          <w:u w:val="none"/>
        </w:rPr>
        <w:t>　</w:t>
      </w:r>
      <w:r>
        <w:rPr>
          <w:rFonts w:hint="eastAsia"/>
          <w:color w:val="auto"/>
          <w:highlight w:val="none"/>
          <w:u w:val="none"/>
          <w:lang w:eastAsia="zh-CN"/>
        </w:rPr>
        <w:t>　一、总体要求</w:t>
      </w:r>
    </w:p>
    <w:p w14:paraId="0B6C9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</w:rPr>
      </w:pPr>
      <w:r>
        <w:rPr>
          <w:rFonts w:hint="eastAsia"/>
          <w:color w:val="auto"/>
          <w:highlight w:val="none"/>
          <w:u w:val="none"/>
        </w:rPr>
        <w:t>依据《中华人民共和国土地管理法》</w:t>
      </w:r>
      <w:r>
        <w:rPr>
          <w:rFonts w:hint="eastAsia"/>
          <w:color w:val="auto"/>
          <w:highlight w:val="none"/>
          <w:u w:val="none"/>
          <w:lang w:eastAsia="zh-CN"/>
        </w:rPr>
        <w:t>《</w:t>
      </w:r>
      <w:r>
        <w:rPr>
          <w:rFonts w:hint="eastAsia"/>
          <w:color w:val="auto"/>
          <w:highlight w:val="none"/>
          <w:u w:val="none"/>
        </w:rPr>
        <w:t>中华人民共和国城乡规划法》《中华人民共和国</w:t>
      </w:r>
      <w:r>
        <w:rPr>
          <w:rFonts w:hint="eastAsia"/>
          <w:color w:val="auto"/>
          <w:highlight w:val="none"/>
          <w:u w:val="none"/>
          <w:lang w:eastAsia="zh-CN"/>
        </w:rPr>
        <w:t>农村集体经济组织法</w:t>
      </w:r>
      <w:r>
        <w:rPr>
          <w:rFonts w:hint="eastAsia"/>
          <w:color w:val="auto"/>
          <w:highlight w:val="none"/>
          <w:u w:val="none"/>
        </w:rPr>
        <w:t>》《农业农村部</w:t>
      </w:r>
      <w:r>
        <w:rPr>
          <w:rFonts w:hint="eastAsia"/>
          <w:color w:val="auto"/>
          <w:highlight w:val="none"/>
          <w:u w:val="none"/>
          <w:lang w:val="en-US" w:eastAsia="zh-CN"/>
        </w:rPr>
        <w:t xml:space="preserve"> </w:t>
      </w:r>
      <w:r>
        <w:rPr>
          <w:rFonts w:hint="eastAsia"/>
          <w:color w:val="auto"/>
          <w:highlight w:val="none"/>
          <w:u w:val="none"/>
        </w:rPr>
        <w:t>自然资源部关于规范农村宅基地审批管理的通知》《广东省农业农村厅 广东省自然资源厅关于规范农村宅基地审批管理的通知》</w:t>
      </w:r>
      <w:r>
        <w:rPr>
          <w:rFonts w:hint="eastAsia"/>
          <w:color w:val="auto"/>
          <w:highlight w:val="none"/>
          <w:u w:val="none"/>
          <w:lang w:val="en-US" w:eastAsia="zh-CN"/>
        </w:rPr>
        <w:t>《</w:t>
      </w:r>
      <w:r>
        <w:rPr>
          <w:rFonts w:hint="eastAsia"/>
          <w:color w:val="auto"/>
          <w:highlight w:val="none"/>
          <w:u w:val="none"/>
        </w:rPr>
        <w:t>河源市农村村民住房建设管理办法</w:t>
      </w:r>
      <w:r>
        <w:rPr>
          <w:rFonts w:hint="eastAsia"/>
          <w:color w:val="auto"/>
          <w:highlight w:val="none"/>
          <w:u w:val="none"/>
          <w:lang w:val="en-US" w:eastAsia="zh-CN"/>
        </w:rPr>
        <w:t>》</w:t>
      </w:r>
      <w:r>
        <w:rPr>
          <w:rFonts w:hint="eastAsia"/>
          <w:color w:val="auto"/>
          <w:highlight w:val="none"/>
          <w:u w:val="none"/>
        </w:rPr>
        <w:t>等规定，坚持</w:t>
      </w:r>
      <w:r>
        <w:rPr>
          <w:rFonts w:hint="eastAsia"/>
          <w:color w:val="auto"/>
          <w:highlight w:val="none"/>
          <w:u w:val="none"/>
          <w:lang w:eastAsia="zh-CN"/>
        </w:rPr>
        <w:t>“</w:t>
      </w:r>
      <w:r>
        <w:rPr>
          <w:rFonts w:hint="eastAsia"/>
          <w:color w:val="auto"/>
          <w:highlight w:val="none"/>
          <w:u w:val="none"/>
        </w:rPr>
        <w:t>符合规划、一户一宅、建新拆旧、带图审批</w:t>
      </w:r>
      <w:r>
        <w:rPr>
          <w:rFonts w:hint="eastAsia"/>
          <w:color w:val="auto"/>
          <w:highlight w:val="none"/>
          <w:u w:val="none"/>
          <w:lang w:eastAsia="zh-CN"/>
        </w:rPr>
        <w:t>”</w:t>
      </w:r>
      <w:r>
        <w:rPr>
          <w:rFonts w:hint="eastAsia"/>
          <w:color w:val="auto"/>
          <w:highlight w:val="none"/>
          <w:u w:val="none"/>
        </w:rPr>
        <w:t>原则，通过规范审批、严格监管、从严执法，全面实施农村</w:t>
      </w:r>
      <w:r>
        <w:rPr>
          <w:rFonts w:hint="eastAsia"/>
          <w:color w:val="auto"/>
          <w:highlight w:val="none"/>
          <w:u w:val="none"/>
          <w:lang w:eastAsia="zh-CN"/>
        </w:rPr>
        <w:t>住</w:t>
      </w:r>
      <w:r>
        <w:rPr>
          <w:rFonts w:hint="eastAsia"/>
          <w:color w:val="auto"/>
          <w:highlight w:val="none"/>
          <w:u w:val="none"/>
        </w:rPr>
        <w:t>房</w:t>
      </w:r>
      <w:r>
        <w:rPr>
          <w:rFonts w:hint="eastAsia"/>
          <w:color w:val="auto"/>
          <w:highlight w:val="none"/>
          <w:u w:val="none"/>
          <w:lang w:eastAsia="zh-CN"/>
        </w:rPr>
        <w:t>全过程</w:t>
      </w:r>
      <w:r>
        <w:rPr>
          <w:rFonts w:hint="eastAsia"/>
          <w:color w:val="auto"/>
          <w:highlight w:val="none"/>
          <w:u w:val="none"/>
        </w:rPr>
        <w:t>管理，坚决遏制新增农</w:t>
      </w:r>
      <w:r>
        <w:rPr>
          <w:rFonts w:hint="eastAsia"/>
          <w:color w:val="auto"/>
          <w:highlight w:val="none"/>
          <w:u w:val="none"/>
          <w:lang w:eastAsia="zh-CN"/>
        </w:rPr>
        <w:t>房</w:t>
      </w:r>
      <w:r>
        <w:rPr>
          <w:rFonts w:hint="eastAsia"/>
          <w:color w:val="auto"/>
          <w:highlight w:val="none"/>
          <w:u w:val="none"/>
        </w:rPr>
        <w:t>违法建设，着力提升乡村风貌。</w:t>
      </w:r>
    </w:p>
    <w:p w14:paraId="34D50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default"/>
          <w:color w:val="auto"/>
          <w:highlight w:val="none"/>
          <w:u w:val="none"/>
          <w:lang w:val="en-US" w:eastAsia="zh-CN"/>
        </w:rPr>
        <w:t>农村</w:t>
      </w:r>
      <w:r>
        <w:rPr>
          <w:rFonts w:hint="eastAsia"/>
          <w:color w:val="auto"/>
          <w:highlight w:val="none"/>
          <w:u w:val="none"/>
          <w:lang w:val="en-US" w:eastAsia="zh-CN"/>
        </w:rPr>
        <w:t>住</w:t>
      </w:r>
      <w:r>
        <w:rPr>
          <w:rFonts w:hint="default"/>
          <w:color w:val="auto"/>
          <w:highlight w:val="none"/>
          <w:u w:val="none"/>
          <w:lang w:val="en-US" w:eastAsia="zh-CN"/>
        </w:rPr>
        <w:t>房</w:t>
      </w:r>
      <w:r>
        <w:rPr>
          <w:rFonts w:hint="eastAsia"/>
          <w:color w:val="auto"/>
          <w:highlight w:val="none"/>
          <w:u w:val="none"/>
          <w:lang w:val="en-US" w:eastAsia="zh-CN"/>
        </w:rPr>
        <w:t>全过程</w:t>
      </w:r>
      <w:r>
        <w:rPr>
          <w:rFonts w:hint="default"/>
          <w:color w:val="auto"/>
          <w:highlight w:val="none"/>
          <w:u w:val="none"/>
          <w:lang w:val="en-US" w:eastAsia="zh-CN"/>
        </w:rPr>
        <w:t>管理</w:t>
      </w:r>
      <w:r>
        <w:rPr>
          <w:rFonts w:hint="eastAsia"/>
          <w:color w:val="auto"/>
          <w:highlight w:val="none"/>
          <w:u w:val="none"/>
          <w:lang w:val="en-US" w:eastAsia="zh-CN"/>
        </w:rPr>
        <w:t>流程</w:t>
      </w:r>
      <w:r>
        <w:rPr>
          <w:rFonts w:hint="default"/>
          <w:color w:val="auto"/>
          <w:highlight w:val="none"/>
          <w:u w:val="none"/>
          <w:lang w:val="en-US" w:eastAsia="zh-CN"/>
        </w:rPr>
        <w:t>包括：</w:t>
      </w:r>
    </w:p>
    <w:p w14:paraId="2DFCE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  <w:t>（一）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u w:val="none"/>
          <w:lang w:val="en-US" w:eastAsia="zh-CN"/>
        </w:rPr>
        <w:t>用地保障。</w:t>
      </w:r>
      <w:r>
        <w:rPr>
          <w:rFonts w:hint="default"/>
          <w:color w:val="auto"/>
          <w:highlight w:val="none"/>
          <w:u w:val="none"/>
          <w:lang w:val="en-US" w:eastAsia="zh-CN"/>
        </w:rPr>
        <w:t>强化宅基地用地管控，乡镇政府依法</w:t>
      </w:r>
      <w:r>
        <w:rPr>
          <w:rFonts w:hint="eastAsia"/>
          <w:color w:val="auto"/>
          <w:highlight w:val="none"/>
          <w:u w:val="none"/>
          <w:lang w:val="en-US" w:eastAsia="zh-CN"/>
        </w:rPr>
        <w:t>办理</w:t>
      </w:r>
      <w:r>
        <w:rPr>
          <w:rFonts w:hint="default"/>
          <w:color w:val="auto"/>
          <w:highlight w:val="none"/>
          <w:u w:val="none"/>
          <w:lang w:val="en-US" w:eastAsia="zh-CN"/>
        </w:rPr>
        <w:t>用地报批，确保宅基地来源合法、符合规划。</w:t>
      </w:r>
    </w:p>
    <w:p w14:paraId="2E665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u w:val="none"/>
          <w:lang w:val="en-US" w:eastAsia="zh-CN"/>
        </w:rPr>
        <w:t>（二）申请分配。</w:t>
      </w:r>
      <w:r>
        <w:rPr>
          <w:rFonts w:hint="default"/>
          <w:color w:val="auto"/>
          <w:highlight w:val="none"/>
          <w:u w:val="none"/>
          <w:lang w:val="en-US" w:eastAsia="zh-CN"/>
        </w:rPr>
        <w:t>符合条件的农户</w:t>
      </w:r>
      <w:r>
        <w:rPr>
          <w:rFonts w:hint="eastAsia"/>
          <w:color w:val="auto"/>
          <w:highlight w:val="none"/>
          <w:u w:val="none"/>
          <w:lang w:val="en-US" w:eastAsia="zh-CN"/>
        </w:rPr>
        <w:t>按</w:t>
      </w:r>
      <w:r>
        <w:rPr>
          <w:rFonts w:hint="default"/>
          <w:color w:val="auto"/>
          <w:highlight w:val="none"/>
          <w:u w:val="none"/>
          <w:lang w:val="en-US" w:eastAsia="zh-CN"/>
        </w:rPr>
        <w:t>程序向</w:t>
      </w:r>
      <w:r>
        <w:rPr>
          <w:rFonts w:hint="eastAsia"/>
          <w:color w:val="auto"/>
          <w:highlight w:val="none"/>
          <w:u w:val="none"/>
          <w:lang w:val="en-US" w:eastAsia="zh-CN"/>
        </w:rPr>
        <w:t>农村集体经济组织、</w:t>
      </w:r>
      <w:r>
        <w:rPr>
          <w:rFonts w:hint="default"/>
          <w:color w:val="auto"/>
          <w:highlight w:val="none"/>
          <w:u w:val="none"/>
          <w:lang w:val="en-US" w:eastAsia="zh-CN"/>
        </w:rPr>
        <w:t>乡镇政府提出申请，乡镇</w:t>
      </w:r>
      <w:r>
        <w:rPr>
          <w:rFonts w:hint="eastAsia"/>
          <w:color w:val="auto"/>
          <w:highlight w:val="none"/>
          <w:u w:val="none"/>
          <w:lang w:val="en-US" w:eastAsia="zh-CN"/>
        </w:rPr>
        <w:t>政府</w:t>
      </w:r>
      <w:r>
        <w:rPr>
          <w:rFonts w:hint="default"/>
          <w:color w:val="auto"/>
          <w:highlight w:val="none"/>
          <w:u w:val="none"/>
          <w:lang w:val="en-US" w:eastAsia="zh-CN"/>
        </w:rPr>
        <w:t>核准其</w:t>
      </w:r>
      <w:r>
        <w:rPr>
          <w:rFonts w:hint="eastAsia"/>
          <w:color w:val="auto"/>
          <w:highlight w:val="none"/>
          <w:u w:val="none"/>
          <w:lang w:val="en-US" w:eastAsia="zh-CN"/>
        </w:rPr>
        <w:t>申请资格条件</w:t>
      </w:r>
      <w:r>
        <w:rPr>
          <w:rFonts w:hint="default"/>
          <w:color w:val="auto"/>
          <w:highlight w:val="none"/>
          <w:u w:val="none"/>
          <w:lang w:val="en-US" w:eastAsia="zh-CN"/>
        </w:rPr>
        <w:t>。</w:t>
      </w:r>
    </w:p>
    <w:p w14:paraId="7C668B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u w:val="none"/>
          <w:lang w:val="en-US" w:eastAsia="zh-CN"/>
        </w:rPr>
        <w:t>工程报建。</w:t>
      </w:r>
      <w:r>
        <w:rPr>
          <w:rFonts w:hint="default"/>
          <w:color w:val="auto"/>
          <w:highlight w:val="none"/>
          <w:u w:val="none"/>
          <w:lang w:val="en-US" w:eastAsia="zh-CN"/>
        </w:rPr>
        <w:t>农户向乡镇</w:t>
      </w:r>
      <w:r>
        <w:rPr>
          <w:rFonts w:hint="eastAsia"/>
          <w:color w:val="auto"/>
          <w:highlight w:val="none"/>
          <w:u w:val="none"/>
          <w:lang w:val="en-US" w:eastAsia="zh-CN"/>
        </w:rPr>
        <w:t>政府</w:t>
      </w:r>
      <w:r>
        <w:rPr>
          <w:rFonts w:hint="default"/>
          <w:color w:val="auto"/>
          <w:highlight w:val="none"/>
          <w:u w:val="none"/>
          <w:lang w:val="en-US" w:eastAsia="zh-CN"/>
        </w:rPr>
        <w:t>报建并取得许可后方可建设，房屋须符合风貌</w:t>
      </w:r>
      <w:r>
        <w:rPr>
          <w:rFonts w:hint="eastAsia"/>
          <w:color w:val="auto"/>
          <w:highlight w:val="none"/>
          <w:u w:val="none"/>
          <w:lang w:val="en-US" w:eastAsia="zh-CN"/>
        </w:rPr>
        <w:t>管控规划</w:t>
      </w:r>
      <w:r>
        <w:rPr>
          <w:rFonts w:hint="default"/>
          <w:color w:val="auto"/>
          <w:highlight w:val="none"/>
          <w:u w:val="none"/>
          <w:lang w:val="en-US" w:eastAsia="zh-CN"/>
        </w:rPr>
        <w:t>等要求。</w:t>
      </w:r>
    </w:p>
    <w:p w14:paraId="5E865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  <w:t>（四）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u w:val="none"/>
          <w:lang w:val="en-US" w:eastAsia="zh-CN"/>
        </w:rPr>
        <w:t>建设施工。</w:t>
      </w:r>
      <w:r>
        <w:rPr>
          <w:rFonts w:hint="default"/>
          <w:color w:val="auto"/>
          <w:highlight w:val="none"/>
          <w:u w:val="none"/>
          <w:lang w:val="en-US" w:eastAsia="zh-CN"/>
        </w:rPr>
        <w:t>农户</w:t>
      </w:r>
      <w:r>
        <w:rPr>
          <w:rFonts w:hint="eastAsia"/>
          <w:color w:val="auto"/>
          <w:highlight w:val="none"/>
          <w:u w:val="none"/>
          <w:lang w:val="en-US" w:eastAsia="zh-CN"/>
        </w:rPr>
        <w:t>应当</w:t>
      </w:r>
      <w:r>
        <w:rPr>
          <w:rFonts w:hint="default"/>
          <w:color w:val="auto"/>
          <w:highlight w:val="none"/>
          <w:u w:val="none"/>
          <w:lang w:val="en-US" w:eastAsia="zh-CN"/>
        </w:rPr>
        <w:t>选择经过建筑技能培训、满足技能要求的农村建筑施工人员或者有资质的建筑施工企业施工，签订施工合同，确保施工安全与质量，竣工后须申请验收。</w:t>
      </w:r>
    </w:p>
    <w:p w14:paraId="1C3A6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  <w:t>（五）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u w:val="none"/>
          <w:lang w:val="en-US" w:eastAsia="zh-CN"/>
        </w:rPr>
        <w:t>确权与流转。</w:t>
      </w:r>
      <w:r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  <w:t>乡</w:t>
      </w:r>
      <w:r>
        <w:rPr>
          <w:rFonts w:hint="default"/>
          <w:color w:val="auto"/>
          <w:highlight w:val="none"/>
          <w:u w:val="none"/>
          <w:lang w:val="en-US" w:eastAsia="zh-CN"/>
        </w:rPr>
        <w:t>镇政府组织房屋验收，验收通过后</w:t>
      </w:r>
      <w:r>
        <w:rPr>
          <w:rFonts w:hint="eastAsia"/>
          <w:color w:val="auto"/>
          <w:highlight w:val="none"/>
          <w:u w:val="none"/>
          <w:lang w:val="en-US" w:eastAsia="zh-CN"/>
        </w:rPr>
        <w:t>农户</w:t>
      </w:r>
      <w:r>
        <w:rPr>
          <w:rFonts w:hint="default"/>
          <w:color w:val="auto"/>
          <w:highlight w:val="none"/>
          <w:u w:val="none"/>
          <w:lang w:val="en-US" w:eastAsia="zh-CN"/>
        </w:rPr>
        <w:t>按规定办理不动产权登记；</w:t>
      </w:r>
      <w:r>
        <w:rPr>
          <w:rFonts w:hint="eastAsia" w:ascii="宋体" w:hAnsi="宋体"/>
          <w:sz w:val="32"/>
          <w:szCs w:val="32"/>
          <w:lang w:eastAsia="zh-CN"/>
        </w:rPr>
        <w:t>经</w:t>
      </w:r>
      <w:r>
        <w:rPr>
          <w:rFonts w:hint="eastAsia" w:ascii="宋体" w:hAnsi="宋体" w:eastAsia="方正仿宋_GBK"/>
          <w:sz w:val="32"/>
          <w:szCs w:val="32"/>
        </w:rPr>
        <w:t>宅基地所有权人同意</w:t>
      </w:r>
      <w:r>
        <w:rPr>
          <w:rFonts w:hint="default"/>
          <w:color w:val="auto"/>
          <w:highlight w:val="none"/>
          <w:u w:val="none"/>
          <w:lang w:val="en-US" w:eastAsia="zh-CN"/>
        </w:rPr>
        <w:t>，宅基地</w:t>
      </w:r>
      <w:r>
        <w:rPr>
          <w:rFonts w:hint="eastAsia"/>
          <w:color w:val="auto"/>
          <w:highlight w:val="none"/>
          <w:u w:val="none"/>
          <w:lang w:val="en-US" w:eastAsia="zh-CN"/>
        </w:rPr>
        <w:t>使用权</w:t>
      </w:r>
      <w:r>
        <w:rPr>
          <w:rFonts w:hint="default"/>
          <w:color w:val="auto"/>
          <w:highlight w:val="none"/>
          <w:u w:val="none"/>
          <w:lang w:val="en-US" w:eastAsia="zh-CN"/>
        </w:rPr>
        <w:t>可依规转让。</w:t>
      </w:r>
    </w:p>
    <w:p w14:paraId="3A5B5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  <w:t>（六）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auto"/>
          <w:highlight w:val="none"/>
          <w:u w:val="none"/>
          <w:lang w:val="en-US" w:eastAsia="zh-CN"/>
        </w:rPr>
        <w:t>后期管理。</w:t>
      </w:r>
      <w:r>
        <w:rPr>
          <w:rFonts w:hint="default"/>
          <w:color w:val="auto"/>
          <w:highlight w:val="none"/>
          <w:u w:val="none"/>
          <w:lang w:val="en-US" w:eastAsia="zh-CN"/>
        </w:rPr>
        <w:t>乡镇政府开展常态化巡查监管，加强农房使用管理，持续改善农村人居环境。</w:t>
      </w:r>
    </w:p>
    <w:p w14:paraId="61E5650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二、申请条件</w:t>
      </w:r>
    </w:p>
    <w:p w14:paraId="50E4E37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default"/>
          <w:color w:val="auto"/>
          <w:highlight w:val="none"/>
          <w:u w:val="none"/>
          <w:lang w:val="en-US" w:eastAsia="zh-CN"/>
        </w:rPr>
        <w:t>农村宅基地以户为单位申请，申请人须为农村集体经济组织成员，且符合</w:t>
      </w:r>
      <w:r>
        <w:rPr>
          <w:rFonts w:hint="eastAsia"/>
          <w:color w:val="auto"/>
          <w:highlight w:val="none"/>
          <w:u w:val="none"/>
          <w:lang w:val="en-US" w:eastAsia="zh-CN"/>
        </w:rPr>
        <w:t>“</w:t>
      </w:r>
      <w:r>
        <w:rPr>
          <w:rFonts w:hint="default"/>
          <w:color w:val="auto"/>
          <w:highlight w:val="none"/>
          <w:u w:val="none"/>
          <w:lang w:val="en-US" w:eastAsia="zh-CN"/>
        </w:rPr>
        <w:t>一户一宅</w:t>
      </w:r>
      <w:r>
        <w:rPr>
          <w:rFonts w:hint="eastAsia"/>
          <w:color w:val="auto"/>
          <w:highlight w:val="none"/>
          <w:u w:val="none"/>
          <w:lang w:val="en-US" w:eastAsia="zh-CN"/>
        </w:rPr>
        <w:t>”</w:t>
      </w:r>
      <w:r>
        <w:rPr>
          <w:rFonts w:hint="default"/>
          <w:color w:val="auto"/>
          <w:highlight w:val="none"/>
          <w:u w:val="none"/>
          <w:lang w:val="en-US" w:eastAsia="zh-CN"/>
        </w:rPr>
        <w:t>条件。每户只能拥有一处宅基地，面积标准按省</w:t>
      </w:r>
      <w:r>
        <w:rPr>
          <w:rFonts w:hint="eastAsia"/>
          <w:color w:val="auto"/>
          <w:highlight w:val="none"/>
          <w:u w:val="none"/>
          <w:lang w:val="en-US" w:eastAsia="zh-CN"/>
        </w:rPr>
        <w:t>、市</w:t>
      </w:r>
      <w:r>
        <w:rPr>
          <w:rFonts w:hint="default"/>
          <w:color w:val="auto"/>
          <w:highlight w:val="none"/>
          <w:u w:val="none"/>
          <w:lang w:val="en-US" w:eastAsia="zh-CN"/>
        </w:rPr>
        <w:t>有关规定执行。住宅建筑层数不超过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3</w:t>
      </w:r>
      <w:r>
        <w:rPr>
          <w:rFonts w:hint="default"/>
          <w:color w:val="auto"/>
          <w:highlight w:val="none"/>
          <w:u w:val="none"/>
          <w:lang w:val="en-US" w:eastAsia="zh-CN"/>
        </w:rPr>
        <w:t>层</w:t>
      </w:r>
      <w:r>
        <w:rPr>
          <w:rFonts w:hint="eastAsia"/>
          <w:color w:val="auto"/>
          <w:highlight w:val="none"/>
          <w:u w:val="none"/>
          <w:lang w:val="en-US" w:eastAsia="zh-CN"/>
        </w:rPr>
        <w:t>半</w:t>
      </w:r>
      <w:r>
        <w:rPr>
          <w:rFonts w:hint="default"/>
          <w:color w:val="auto"/>
          <w:highlight w:val="none"/>
          <w:u w:val="none"/>
          <w:lang w:val="en-US" w:eastAsia="zh-CN"/>
        </w:rPr>
        <w:t>，总建筑面积不得超过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350</w:t>
      </w:r>
      <w:r>
        <w:rPr>
          <w:rFonts w:hint="default"/>
          <w:color w:val="auto"/>
          <w:highlight w:val="none"/>
          <w:u w:val="none"/>
          <w:lang w:val="en-US" w:eastAsia="zh-CN"/>
        </w:rPr>
        <w:t>平方米。各县（区）人民政府可</w:t>
      </w:r>
      <w:r>
        <w:rPr>
          <w:rFonts w:hint="eastAsia"/>
          <w:color w:val="auto"/>
          <w:highlight w:val="none"/>
          <w:u w:val="none"/>
          <w:lang w:val="en-US" w:eastAsia="zh-CN"/>
        </w:rPr>
        <w:t>结合</w:t>
      </w:r>
      <w:r>
        <w:rPr>
          <w:rFonts w:hint="default"/>
          <w:color w:val="auto"/>
          <w:highlight w:val="none"/>
          <w:u w:val="none"/>
          <w:lang w:val="en-US" w:eastAsia="zh-CN"/>
        </w:rPr>
        <w:t>实际进一步细化相关规定。</w:t>
      </w:r>
    </w:p>
    <w:p w14:paraId="35B50D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三、用地保障</w:t>
      </w:r>
    </w:p>
    <w:p w14:paraId="79E26EC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18"/>
          <w:rFonts w:hint="eastAsia" w:ascii="楷体" w:hAnsi="楷体" w:eastAsia="楷体" w:cs="楷体"/>
          <w:color w:val="auto"/>
          <w:highlight w:val="none"/>
          <w:u w:val="none"/>
          <w:lang w:val="en-US" w:eastAsia="zh-CN"/>
        </w:rPr>
      </w:pPr>
      <w:r>
        <w:rPr>
          <w:rStyle w:val="18"/>
          <w:rFonts w:hint="eastAsia" w:ascii="楷体" w:hAnsi="楷体" w:eastAsia="楷体" w:cs="楷体"/>
          <w:color w:val="auto"/>
          <w:highlight w:val="none"/>
          <w:u w:val="none"/>
          <w:lang w:val="en-US" w:eastAsia="zh-CN"/>
        </w:rPr>
        <w:t>（一）强化用地管控</w:t>
      </w:r>
    </w:p>
    <w:p w14:paraId="5086917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  <w:t>新增宅基地严禁占用永久基本农田和生态保护红线，应避开地质灾害隐患点、削坡建房风险区、河道及水利工程管理范围、公路建筑控制区、铁路线路安全保护区、电力线路保护区、燃气管道危险区、饮用水水源一级保护区、重要旅游景区景点、风景名胜区、不可移动文物、革命旧址、历史保护单位等重点区域；不得使用Ⅰ级国家级公益林、Ⅰ级保护林地及国有林场林地；严格控制新增宅基地占用农用地和耕地。</w:t>
      </w:r>
    </w:p>
    <w:p w14:paraId="1B7DA14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18"/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</w:pPr>
      <w:r>
        <w:rPr>
          <w:rStyle w:val="18"/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  <w:t>（二）落实规划保障</w:t>
      </w:r>
    </w:p>
    <w:p w14:paraId="6CDFD0C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  <w:t>农村村民建房须符合国土空间规划要求。县（区）人民政府可制定村庄规划管理通则，或由乡镇政府在乡镇国土空间总体规划中设立村庄规划管控专章，亦可编制“多规合一”村庄规划，明确村民住宅用地布局、建筑退距、外立面样式等要求。</w:t>
      </w:r>
    </w:p>
    <w:p w14:paraId="2E0A186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18"/>
          <w:rFonts w:hint="default" w:ascii="楷体" w:hAnsi="楷体" w:eastAsia="楷体" w:cs="楷体"/>
          <w:color w:val="auto"/>
          <w:highlight w:val="none"/>
          <w:u w:val="none"/>
          <w:lang w:val="en-US" w:eastAsia="zh-CN"/>
        </w:rPr>
      </w:pPr>
      <w:r>
        <w:rPr>
          <w:rStyle w:val="18"/>
          <w:rFonts w:hint="eastAsia" w:ascii="楷体" w:hAnsi="楷体" w:eastAsia="楷体" w:cs="楷体"/>
          <w:color w:val="auto"/>
          <w:highlight w:val="none"/>
          <w:u w:val="none"/>
          <w:lang w:val="en-US" w:eastAsia="zh-CN"/>
        </w:rPr>
        <w:t>（三）规范</w:t>
      </w:r>
      <w:r>
        <w:rPr>
          <w:rStyle w:val="18"/>
          <w:rFonts w:hint="default" w:ascii="楷体" w:hAnsi="楷体" w:eastAsia="楷体" w:cs="楷体"/>
          <w:color w:val="auto"/>
          <w:highlight w:val="none"/>
          <w:u w:val="none"/>
          <w:lang w:val="en-US" w:eastAsia="zh-CN"/>
        </w:rPr>
        <w:t>用地</w:t>
      </w:r>
      <w:r>
        <w:rPr>
          <w:rStyle w:val="18"/>
          <w:rFonts w:hint="eastAsia" w:ascii="楷体" w:hAnsi="楷体" w:eastAsia="楷体" w:cs="楷体"/>
          <w:color w:val="auto"/>
          <w:highlight w:val="none"/>
          <w:u w:val="none"/>
          <w:lang w:val="en-US" w:eastAsia="zh-CN"/>
        </w:rPr>
        <w:t>报批</w:t>
      </w:r>
    </w:p>
    <w:p w14:paraId="1E8CD30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  <w:t>涉及农用地和未利用地转用的，依法办理转用审批手续。具体报批流程按《农村村民住宅建设用地涉及农用地和未利用地转用报批工作指引（修订版）》（河自然资发〔2023〕364号）执行。</w:t>
      </w:r>
    </w:p>
    <w:p w14:paraId="52A7CDA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  <w:t>农村住房集中建设项目确实无法在村庄建设用地范围内选址的，须按《广东省自然资源厅关于加强国土空间总体规划实施管理的通知》（粤自然资发〔2025〕2号）要求落实建设用地规模，并依据《关于推进农村住房集中建设自然资源要素保障的指导意见(试行)》（河自然资函〔2024〕22号）等相关规定办理用地报批。</w:t>
      </w:r>
    </w:p>
    <w:p w14:paraId="17EB78A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highlight w:val="none"/>
          <w:u w:val="none"/>
          <w:lang w:val="en-US" w:eastAsia="zh-CN"/>
        </w:rPr>
        <w:t>符合以下条件的零星农村村民住宅用地，可按程序办理用地手续并纳入广东省国土空间规划“一张图”实施监督信息系统：（1）符合“一户一宅”规定；（2）与现状农村居民点相邻连片；（3）不涉及地质灾害隐患点、河湖管理范围和洪涝风险控制线；（4）以城镇村批次方式报批且单个图斑面积均在400平方米以下。</w:t>
      </w:r>
    </w:p>
    <w:p w14:paraId="4FFC01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四、规划及工程报建</w:t>
      </w:r>
    </w:p>
    <w:p w14:paraId="70676C5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18"/>
          <w:rFonts w:hint="default"/>
          <w:color w:val="auto"/>
          <w:highlight w:val="none"/>
          <w:u w:val="none"/>
          <w:lang w:val="en-US" w:eastAsia="zh-CN"/>
        </w:rPr>
      </w:pPr>
      <w:r>
        <w:rPr>
          <w:rStyle w:val="18"/>
          <w:rFonts w:hint="eastAsia"/>
          <w:color w:val="auto"/>
          <w:highlight w:val="none"/>
          <w:u w:val="none"/>
          <w:lang w:val="en-US" w:eastAsia="zh-CN"/>
        </w:rPr>
        <w:t>（一）加强建筑规划设计</w:t>
      </w:r>
    </w:p>
    <w:p w14:paraId="18D5BAC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vertAlign w:val="baseline"/>
        </w:rPr>
        <w:t>县（区）住房城乡建设部门应参照省、市农房设计图集，结合地方特色编制并免费提供本地化农房设计图集和施工合同范本</w:t>
      </w: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u w:val="none"/>
          <w:vertAlign w:val="baseline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vertAlign w:val="baseline"/>
        </w:rPr>
        <w:t>乡镇政府应在党群服务中心或办事大厅公开展示通用图集，供村民选用。以行政村为单位，从通用图集中选择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vertAlign w:val="baseline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vertAlign w:val="baseline"/>
        </w:rPr>
        <w:t>–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u w:val="none"/>
          <w:vertAlign w:val="baseline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vertAlign w:val="baseline"/>
        </w:rPr>
        <w:t>种外立面样式和建筑风格相对统一的方案，经民主决策后纳入村规民约</w:t>
      </w: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u w:val="none"/>
          <w:vertAlign w:val="baseline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vertAlign w:val="baseline"/>
        </w:rPr>
        <w:t>村民可选择</w:t>
      </w: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u w:val="none"/>
          <w:vertAlign w:val="baseline"/>
          <w:lang w:eastAsia="zh-CN"/>
        </w:rPr>
        <w:t>纳入村规民约的设计方案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vertAlign w:val="baseline"/>
        </w:rPr>
        <w:t>或委托有资质的设计单位（人员）进行设计，但外立面样式须与本村</w:t>
      </w: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u w:val="none"/>
          <w:vertAlign w:val="baseline"/>
          <w:lang w:eastAsia="zh-CN"/>
        </w:rPr>
        <w:t>方案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u w:val="none"/>
          <w:vertAlign w:val="baseline"/>
        </w:rPr>
        <w:t>基本一致。</w:t>
      </w:r>
      <w:r>
        <w:rPr>
          <w:rFonts w:hint="default"/>
          <w:color w:val="auto"/>
          <w:highlight w:val="none"/>
          <w:u w:val="none"/>
          <w:lang w:val="en-US" w:eastAsia="zh-CN"/>
        </w:rPr>
        <w:t>屋顶光伏棚建设应严格遵循《广东省县域</w:t>
      </w:r>
      <w:r>
        <w:rPr>
          <w:rFonts w:hint="eastAsia"/>
          <w:color w:val="auto"/>
          <w:highlight w:val="none"/>
          <w:u w:val="none"/>
          <w:lang w:val="en-US" w:eastAsia="zh-CN"/>
        </w:rPr>
        <w:t>“</w:t>
      </w:r>
      <w:r>
        <w:rPr>
          <w:rFonts w:hint="default"/>
          <w:color w:val="auto"/>
          <w:highlight w:val="none"/>
          <w:u w:val="none"/>
          <w:lang w:val="en-US" w:eastAsia="zh-CN"/>
        </w:rPr>
        <w:t>光伏+建筑</w:t>
      </w:r>
      <w:r>
        <w:rPr>
          <w:rFonts w:hint="eastAsia"/>
          <w:color w:val="auto"/>
          <w:highlight w:val="none"/>
          <w:u w:val="none"/>
          <w:lang w:val="en-US" w:eastAsia="zh-CN"/>
        </w:rPr>
        <w:t>”</w:t>
      </w:r>
      <w:r>
        <w:rPr>
          <w:rFonts w:hint="default"/>
          <w:color w:val="auto"/>
          <w:highlight w:val="none"/>
          <w:u w:val="none"/>
          <w:lang w:val="en-US" w:eastAsia="zh-CN"/>
        </w:rPr>
        <w:t>应用试点工作指引（第一版）》（粤建科〔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2024</w:t>
      </w:r>
      <w:r>
        <w:rPr>
          <w:rFonts w:hint="default"/>
          <w:color w:val="auto"/>
          <w:highlight w:val="none"/>
          <w:u w:val="none"/>
          <w:lang w:val="en-US" w:eastAsia="zh-CN"/>
        </w:rPr>
        <w:t>〕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256</w:t>
      </w:r>
      <w:r>
        <w:rPr>
          <w:rFonts w:hint="default"/>
          <w:color w:val="auto"/>
          <w:highlight w:val="none"/>
          <w:u w:val="none"/>
          <w:lang w:val="en-US" w:eastAsia="zh-CN"/>
        </w:rPr>
        <w:t>号）及市、县相关规定。</w:t>
      </w:r>
    </w:p>
    <w:p w14:paraId="3D5B9EE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（二）</w:t>
      </w:r>
      <w:r>
        <w:rPr>
          <w:rFonts w:hint="default"/>
          <w:color w:val="auto"/>
          <w:highlight w:val="none"/>
          <w:u w:val="none"/>
          <w:lang w:val="en-US" w:eastAsia="zh-CN"/>
        </w:rPr>
        <w:t>审批办理</w:t>
      </w:r>
      <w:r>
        <w:rPr>
          <w:rFonts w:hint="eastAsia"/>
          <w:color w:val="auto"/>
          <w:highlight w:val="none"/>
          <w:u w:val="none"/>
          <w:lang w:val="en-US" w:eastAsia="zh-CN"/>
        </w:rPr>
        <w:t>流程</w:t>
      </w:r>
    </w:p>
    <w:p w14:paraId="4ED8966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村民可通过线上或线下途径申请宅基地建房。</w:t>
      </w:r>
    </w:p>
    <w:p w14:paraId="440460D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u w:val="none"/>
          <w:lang w:val="en-US" w:eastAsia="zh-CN"/>
        </w:rPr>
        <w:t>线上：</w:t>
      </w:r>
      <w:r>
        <w:rPr>
          <w:rFonts w:hint="eastAsia"/>
          <w:color w:val="auto"/>
          <w:highlight w:val="none"/>
          <w:u w:val="none"/>
          <w:lang w:val="en-US" w:eastAsia="zh-CN"/>
        </w:rPr>
        <w:t>通过河源市农村宅基地管理信息平台（公众端网址：https://house-portal.hynync.cn/）办理；农村集体经济组织、村委会及管理人员通过管理端（https://house.hynync.cn/）办理。</w:t>
      </w:r>
    </w:p>
    <w:p w14:paraId="759B513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b/>
          <w:bCs/>
          <w:color w:val="auto"/>
          <w:highlight w:val="none"/>
          <w:u w:val="none"/>
          <w:lang w:val="en-US" w:eastAsia="zh-CN"/>
        </w:rPr>
      </w:pPr>
      <w:r>
        <w:rPr>
          <w:rFonts w:hint="eastAsia"/>
          <w:b/>
          <w:bCs/>
          <w:color w:val="auto"/>
          <w:highlight w:val="none"/>
          <w:u w:val="none"/>
          <w:lang w:val="en-US" w:eastAsia="zh-CN"/>
        </w:rPr>
        <w:t>线下：</w:t>
      </w:r>
    </w:p>
    <w:p w14:paraId="71069E5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1</w:t>
      </w:r>
      <w:r>
        <w:rPr>
          <w:rFonts w:hint="default"/>
          <w:color w:val="auto"/>
          <w:highlight w:val="none"/>
          <w:u w:val="none"/>
          <w:lang w:val="en-US" w:eastAsia="zh-CN"/>
        </w:rPr>
        <w:t>.农户申请。农户以户为单位向农村集体经济组织提交申请材料（清单见附件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1</w:t>
      </w:r>
      <w:r>
        <w:rPr>
          <w:rFonts w:hint="default"/>
          <w:color w:val="auto"/>
          <w:highlight w:val="none"/>
          <w:u w:val="none"/>
          <w:lang w:val="en-US" w:eastAsia="zh-CN"/>
        </w:rPr>
        <w:t>）</w:t>
      </w:r>
      <w:r>
        <w:rPr>
          <w:rFonts w:hint="eastAsia"/>
          <w:color w:val="auto"/>
          <w:highlight w:val="none"/>
          <w:u w:val="none"/>
          <w:lang w:val="en-US" w:eastAsia="zh-CN"/>
        </w:rPr>
        <w:t>。</w:t>
      </w:r>
    </w:p>
    <w:p w14:paraId="120130B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2</w:t>
      </w:r>
      <w:r>
        <w:rPr>
          <w:rFonts w:hint="default"/>
          <w:color w:val="auto"/>
          <w:highlight w:val="none"/>
          <w:u w:val="none"/>
          <w:lang w:val="en-US" w:eastAsia="zh-CN"/>
        </w:rPr>
        <w:t>.村级审查。组级集体经济组织或村民小组审查、讨论并公示后，报村级集体经济组织或村委会复核，再报送乡镇政府审批</w:t>
      </w:r>
      <w:r>
        <w:rPr>
          <w:rFonts w:hint="eastAsia"/>
          <w:color w:val="auto"/>
          <w:highlight w:val="none"/>
          <w:u w:val="none"/>
          <w:lang w:val="en-US" w:eastAsia="zh-CN"/>
        </w:rPr>
        <w:t>。</w:t>
      </w:r>
      <w:r>
        <w:rPr>
          <w:rFonts w:hint="default"/>
          <w:color w:val="auto"/>
          <w:highlight w:val="none"/>
          <w:u w:val="none"/>
          <w:lang w:val="en-US" w:eastAsia="zh-CN"/>
        </w:rPr>
        <w:t>农村集体经济组织或村委会</w:t>
      </w:r>
      <w:r>
        <w:rPr>
          <w:rFonts w:hint="eastAsia"/>
          <w:color w:val="auto"/>
          <w:highlight w:val="none"/>
          <w:u w:val="none"/>
          <w:lang w:val="en-US" w:eastAsia="zh-CN"/>
        </w:rPr>
        <w:t>、村民小组</w:t>
      </w:r>
      <w:r>
        <w:rPr>
          <w:rFonts w:hint="default"/>
          <w:color w:val="auto"/>
          <w:highlight w:val="none"/>
          <w:u w:val="none"/>
          <w:lang w:val="en-US" w:eastAsia="zh-CN"/>
        </w:rPr>
        <w:t>无正当理由拒不出具意见或报送材料的，由乡镇政府责令改正；存在刁难群众、侵害权益等行为的，移交纪检监察部门处理。</w:t>
      </w:r>
    </w:p>
    <w:p w14:paraId="6B2DF58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方正仿宋_GBK"/>
          <w:color w:val="auto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3</w:t>
      </w:r>
      <w:r>
        <w:rPr>
          <w:rFonts w:hint="default"/>
          <w:color w:val="auto"/>
          <w:highlight w:val="none"/>
          <w:u w:val="none"/>
          <w:lang w:val="en-US" w:eastAsia="zh-CN"/>
        </w:rPr>
        <w:t>.乡镇审批。乡镇政府应设立专门窗口，实行</w:t>
      </w:r>
      <w:r>
        <w:rPr>
          <w:rFonts w:hint="eastAsia"/>
          <w:color w:val="auto"/>
          <w:highlight w:val="none"/>
          <w:u w:val="none"/>
          <w:lang w:val="en-US" w:eastAsia="zh-CN"/>
        </w:rPr>
        <w:t>“</w:t>
      </w:r>
      <w:r>
        <w:rPr>
          <w:rFonts w:hint="default"/>
          <w:color w:val="auto"/>
          <w:highlight w:val="none"/>
          <w:u w:val="none"/>
          <w:lang w:val="en-US" w:eastAsia="zh-CN"/>
        </w:rPr>
        <w:t>一窗受理、联审联办</w:t>
      </w:r>
      <w:r>
        <w:rPr>
          <w:rFonts w:hint="eastAsia"/>
          <w:color w:val="auto"/>
          <w:highlight w:val="none"/>
          <w:u w:val="none"/>
          <w:lang w:val="en-US" w:eastAsia="zh-CN"/>
        </w:rPr>
        <w:t>”</w:t>
      </w:r>
      <w:r>
        <w:rPr>
          <w:rFonts w:hint="default"/>
          <w:color w:val="auto"/>
          <w:highlight w:val="none"/>
          <w:u w:val="none"/>
          <w:lang w:val="en-US" w:eastAsia="zh-CN"/>
        </w:rPr>
        <w:t>。受理后，组织农业农村、自然资源、住房建设等部门联合审查</w:t>
      </w:r>
      <w:r>
        <w:rPr>
          <w:rFonts w:hint="eastAsia"/>
          <w:color w:val="auto"/>
          <w:highlight w:val="none"/>
          <w:u w:val="none"/>
          <w:lang w:val="en-US" w:eastAsia="zh-CN"/>
        </w:rPr>
        <w:t>；</w:t>
      </w:r>
      <w:r>
        <w:rPr>
          <w:rFonts w:hint="default"/>
          <w:color w:val="auto"/>
          <w:highlight w:val="none"/>
          <w:u w:val="none"/>
          <w:lang w:val="en-US" w:eastAsia="zh-CN"/>
        </w:rPr>
        <w:t>涉及农用地转用或削坡建房的，须先行办理转用审批或地质灾害危险性评估。规划许可决定前应进行批前公示</w:t>
      </w:r>
      <w:r>
        <w:rPr>
          <w:rFonts w:hint="eastAsia"/>
          <w:color w:val="auto"/>
          <w:highlight w:val="none"/>
          <w:u w:val="none"/>
          <w:lang w:val="en-US" w:eastAsia="zh-CN"/>
        </w:rPr>
        <w:t>（</w:t>
      </w:r>
      <w:r>
        <w:rPr>
          <w:rFonts w:hint="default"/>
          <w:color w:val="auto"/>
          <w:highlight w:val="none"/>
          <w:u w:val="none"/>
          <w:lang w:val="en-US" w:eastAsia="zh-CN"/>
        </w:rPr>
        <w:t>不少于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10</w:t>
      </w:r>
      <w:r>
        <w:rPr>
          <w:rFonts w:hint="default"/>
          <w:color w:val="auto"/>
          <w:highlight w:val="none"/>
          <w:u w:val="none"/>
          <w:lang w:val="en-US" w:eastAsia="zh-CN"/>
        </w:rPr>
        <w:t>日</w:t>
      </w:r>
      <w:r>
        <w:rPr>
          <w:rFonts w:hint="eastAsia"/>
          <w:color w:val="auto"/>
          <w:highlight w:val="none"/>
          <w:u w:val="none"/>
          <w:lang w:val="en-US" w:eastAsia="zh-CN"/>
        </w:rPr>
        <w:t>），</w:t>
      </w:r>
      <w:r>
        <w:rPr>
          <w:rFonts w:hint="default"/>
          <w:color w:val="auto"/>
          <w:highlight w:val="none"/>
          <w:u w:val="none"/>
          <w:lang w:val="en-US" w:eastAsia="zh-CN"/>
        </w:rPr>
        <w:t>审批通过的，核发《乡村建设规划许可证》和《农村宅基地批准书》（流程图见附件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2</w:t>
      </w:r>
      <w:r>
        <w:rPr>
          <w:rFonts w:hint="default"/>
          <w:color w:val="auto"/>
          <w:highlight w:val="none"/>
          <w:u w:val="none"/>
          <w:lang w:val="en-US" w:eastAsia="zh-CN"/>
        </w:rPr>
        <w:t>）</w:t>
      </w:r>
      <w:r>
        <w:rPr>
          <w:rFonts w:hint="eastAsia"/>
          <w:color w:val="auto"/>
          <w:highlight w:val="none"/>
          <w:u w:val="none"/>
          <w:lang w:val="en-US" w:eastAsia="zh-CN"/>
        </w:rPr>
        <w:t>。</w:t>
      </w:r>
    </w:p>
    <w:p w14:paraId="0E9098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五、施工管理和验收</w:t>
      </w:r>
    </w:p>
    <w:p w14:paraId="59D42AD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  <w:t>（一）施工放样</w:t>
      </w:r>
    </w:p>
    <w:p w14:paraId="34768D2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default"/>
          <w:color w:val="auto"/>
          <w:highlight w:val="none"/>
          <w:u w:val="none"/>
          <w:lang w:val="en-US" w:eastAsia="zh-CN"/>
        </w:rPr>
        <w:t>农户取得</w:t>
      </w:r>
      <w:r>
        <w:rPr>
          <w:rFonts w:hint="eastAsia"/>
          <w:color w:val="auto"/>
          <w:highlight w:val="none"/>
          <w:u w:val="none"/>
          <w:lang w:val="en-US" w:eastAsia="zh-CN"/>
        </w:rPr>
        <w:t>“</w:t>
      </w:r>
      <w:r>
        <w:rPr>
          <w:rFonts w:hint="default"/>
          <w:color w:val="auto"/>
          <w:highlight w:val="none"/>
          <w:u w:val="none"/>
          <w:lang w:val="en-US" w:eastAsia="zh-CN"/>
        </w:rPr>
        <w:t>一证一书</w:t>
      </w:r>
      <w:r>
        <w:rPr>
          <w:rFonts w:hint="eastAsia"/>
          <w:color w:val="auto"/>
          <w:highlight w:val="none"/>
          <w:u w:val="none"/>
          <w:lang w:val="en-US" w:eastAsia="zh-CN"/>
        </w:rPr>
        <w:t>”</w:t>
      </w:r>
      <w:r>
        <w:rPr>
          <w:rFonts w:hint="default"/>
          <w:color w:val="auto"/>
          <w:highlight w:val="none"/>
          <w:u w:val="none"/>
          <w:lang w:val="en-US" w:eastAsia="zh-CN"/>
        </w:rPr>
        <w:t>后，可向乡镇政府申请免费放样服务</w:t>
      </w:r>
      <w:r>
        <w:rPr>
          <w:rFonts w:hint="eastAsia"/>
          <w:color w:val="auto"/>
          <w:highlight w:val="none"/>
          <w:u w:val="none"/>
          <w:lang w:val="en-US" w:eastAsia="zh-CN"/>
        </w:rPr>
        <w:t>；</w:t>
      </w:r>
      <w:r>
        <w:rPr>
          <w:rFonts w:hint="default"/>
          <w:color w:val="auto"/>
          <w:highlight w:val="none"/>
          <w:u w:val="none"/>
          <w:lang w:val="en-US" w:eastAsia="zh-CN"/>
        </w:rPr>
        <w:t>乡镇</w:t>
      </w:r>
      <w:r>
        <w:rPr>
          <w:rFonts w:hint="eastAsia"/>
          <w:color w:val="auto"/>
          <w:highlight w:val="none"/>
          <w:u w:val="none"/>
          <w:lang w:val="en-US" w:eastAsia="zh-CN"/>
        </w:rPr>
        <w:t>政府</w:t>
      </w:r>
      <w:r>
        <w:rPr>
          <w:rFonts w:hint="default"/>
          <w:color w:val="auto"/>
          <w:highlight w:val="none"/>
          <w:u w:val="none"/>
          <w:lang w:val="en-US" w:eastAsia="zh-CN"/>
        </w:rPr>
        <w:t>应自收到申请起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7</w:t>
      </w:r>
      <w:r>
        <w:rPr>
          <w:rFonts w:hint="default"/>
          <w:color w:val="auto"/>
          <w:highlight w:val="none"/>
          <w:u w:val="none"/>
          <w:lang w:val="en-US" w:eastAsia="zh-CN"/>
        </w:rPr>
        <w:t>个工作日内</w:t>
      </w:r>
      <w:r>
        <w:rPr>
          <w:rFonts w:hint="eastAsia"/>
          <w:color w:val="auto"/>
          <w:highlight w:val="none"/>
          <w:u w:val="none"/>
          <w:lang w:val="en-US" w:eastAsia="zh-CN"/>
        </w:rPr>
        <w:t>，</w:t>
      </w:r>
      <w:r>
        <w:rPr>
          <w:rFonts w:hint="default"/>
          <w:color w:val="auto"/>
          <w:highlight w:val="none"/>
          <w:u w:val="none"/>
          <w:lang w:val="en-US" w:eastAsia="zh-CN"/>
        </w:rPr>
        <w:t>组织人员按批准内容现场放样定界。</w:t>
      </w:r>
    </w:p>
    <w:p w14:paraId="55C8D20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  <w:t>（二）按图安全施工</w:t>
      </w:r>
    </w:p>
    <w:p w14:paraId="3454990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default"/>
          <w:color w:val="auto"/>
          <w:highlight w:val="none"/>
          <w:u w:val="none"/>
          <w:lang w:val="en-US" w:eastAsia="zh-CN"/>
        </w:rPr>
        <w:t>农户</w:t>
      </w:r>
      <w:r>
        <w:rPr>
          <w:rFonts w:hint="eastAsia"/>
          <w:color w:val="auto"/>
          <w:highlight w:val="none"/>
          <w:u w:val="none"/>
          <w:lang w:val="en-US" w:eastAsia="zh-CN"/>
        </w:rPr>
        <w:t>应当</w:t>
      </w:r>
      <w:r>
        <w:rPr>
          <w:rFonts w:hint="default"/>
          <w:color w:val="auto"/>
          <w:highlight w:val="none"/>
          <w:u w:val="none"/>
          <w:lang w:val="en-US" w:eastAsia="zh-CN"/>
        </w:rPr>
        <w:t>选择经过建筑技能培训、满足技能要求的农村建筑施工人员或者有资质的建筑施工企业施工，签订施工合同，明确安全质量责任</w:t>
      </w:r>
      <w:r>
        <w:rPr>
          <w:rFonts w:hint="eastAsia"/>
          <w:color w:val="auto"/>
          <w:highlight w:val="none"/>
          <w:u w:val="none"/>
          <w:lang w:val="en-US" w:eastAsia="zh-CN"/>
        </w:rPr>
        <w:t>；</w:t>
      </w:r>
      <w:r>
        <w:rPr>
          <w:rFonts w:hint="default"/>
          <w:color w:val="auto"/>
          <w:highlight w:val="none"/>
          <w:u w:val="none"/>
          <w:lang w:val="en-US" w:eastAsia="zh-CN"/>
        </w:rPr>
        <w:t>鼓励聘请第三方机构进行监理。施工</w:t>
      </w:r>
      <w:r>
        <w:rPr>
          <w:rFonts w:hint="eastAsia"/>
          <w:color w:val="auto"/>
          <w:highlight w:val="none"/>
          <w:u w:val="none"/>
          <w:lang w:val="en-US" w:eastAsia="zh-CN"/>
        </w:rPr>
        <w:t>须按照“一证一书”批准内容、</w:t>
      </w:r>
      <w:r>
        <w:rPr>
          <w:rFonts w:hint="eastAsia" w:ascii="方正仿宋_GBK" w:hAnsi="方正仿宋_GBK" w:cs="方正仿宋_GBK"/>
          <w:color w:val="auto"/>
          <w:sz w:val="32"/>
          <w:szCs w:val="32"/>
          <w:highlight w:val="none"/>
          <w:u w:val="none"/>
          <w:vertAlign w:val="baseline"/>
          <w:lang w:eastAsia="zh-CN"/>
        </w:rPr>
        <w:t>建筑户型及外观设计图</w:t>
      </w:r>
      <w:r>
        <w:rPr>
          <w:rFonts w:hint="eastAsia"/>
          <w:color w:val="auto"/>
          <w:highlight w:val="none"/>
          <w:u w:val="none"/>
          <w:lang w:val="en-US" w:eastAsia="zh-CN"/>
        </w:rPr>
        <w:t>执行，做到按图施工。建房施工现场须悬挂告示牌（由</w:t>
      </w:r>
      <w:r>
        <w:rPr>
          <w:rFonts w:hint="default"/>
          <w:color w:val="auto"/>
          <w:highlight w:val="none"/>
          <w:u w:val="none"/>
          <w:lang w:val="en-US" w:eastAsia="zh-CN"/>
        </w:rPr>
        <w:t>乡镇</w:t>
      </w:r>
      <w:r>
        <w:rPr>
          <w:rFonts w:hint="eastAsia"/>
          <w:color w:val="auto"/>
          <w:highlight w:val="none"/>
          <w:u w:val="none"/>
          <w:lang w:val="en-US" w:eastAsia="zh-CN"/>
        </w:rPr>
        <w:t>政府</w:t>
      </w:r>
      <w:r>
        <w:rPr>
          <w:rFonts w:hint="default"/>
          <w:color w:val="auto"/>
          <w:highlight w:val="none"/>
          <w:u w:val="none"/>
          <w:lang w:val="en-US" w:eastAsia="zh-CN"/>
        </w:rPr>
        <w:t>统一制作或打印</w:t>
      </w:r>
      <w:r>
        <w:rPr>
          <w:rFonts w:hint="eastAsia"/>
          <w:color w:val="auto"/>
          <w:highlight w:val="none"/>
          <w:u w:val="none"/>
          <w:lang w:val="en-US" w:eastAsia="zh-CN"/>
        </w:rPr>
        <w:t>、</w:t>
      </w:r>
      <w:r>
        <w:rPr>
          <w:rFonts w:hint="default"/>
          <w:color w:val="auto"/>
          <w:highlight w:val="none"/>
          <w:u w:val="none"/>
          <w:lang w:val="en-US" w:eastAsia="zh-CN"/>
        </w:rPr>
        <w:t>免费提供</w:t>
      </w:r>
      <w:r>
        <w:rPr>
          <w:rFonts w:hint="eastAsia"/>
          <w:color w:val="auto"/>
          <w:highlight w:val="none"/>
          <w:u w:val="none"/>
          <w:lang w:val="en-US" w:eastAsia="zh-CN"/>
        </w:rPr>
        <w:t>），载明建设规划许可主要内容和图件，接受社会监督。乡镇政府应定期开展安全检查与巡查，重点核查建房位置、面积、风貌等是否符合要求，及时发现和制止违法建设行为。</w:t>
      </w:r>
    </w:p>
    <w:p w14:paraId="540B6EA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  <w:t>（三）建房（规划许可）验收</w:t>
      </w:r>
    </w:p>
    <w:p w14:paraId="5C33E43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default"/>
          <w:color w:val="auto"/>
          <w:highlight w:val="none"/>
          <w:u w:val="none"/>
          <w:lang w:val="en-US" w:eastAsia="zh-CN"/>
        </w:rPr>
        <w:t>房屋竣工后，农户应及时向乡镇</w:t>
      </w:r>
      <w:r>
        <w:rPr>
          <w:rFonts w:hint="eastAsia"/>
          <w:color w:val="auto"/>
          <w:highlight w:val="none"/>
          <w:u w:val="none"/>
          <w:lang w:val="en-US" w:eastAsia="zh-CN"/>
        </w:rPr>
        <w:t>政府</w:t>
      </w:r>
      <w:r>
        <w:rPr>
          <w:rFonts w:hint="default"/>
          <w:color w:val="auto"/>
          <w:highlight w:val="none"/>
          <w:u w:val="none"/>
          <w:lang w:val="en-US" w:eastAsia="zh-CN"/>
        </w:rPr>
        <w:t>申请验收。乡镇</w:t>
      </w:r>
      <w:r>
        <w:rPr>
          <w:rFonts w:hint="eastAsia"/>
          <w:color w:val="auto"/>
          <w:highlight w:val="none"/>
          <w:u w:val="none"/>
          <w:lang w:val="en-US" w:eastAsia="zh-CN"/>
        </w:rPr>
        <w:t>政府</w:t>
      </w:r>
      <w:r>
        <w:rPr>
          <w:rFonts w:hint="default"/>
          <w:color w:val="auto"/>
          <w:highlight w:val="none"/>
          <w:u w:val="none"/>
          <w:lang w:val="en-US" w:eastAsia="zh-CN"/>
        </w:rPr>
        <w:t>应在</w:t>
      </w: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5</w:t>
      </w:r>
      <w:r>
        <w:rPr>
          <w:rFonts w:hint="default"/>
          <w:color w:val="auto"/>
          <w:highlight w:val="none"/>
          <w:u w:val="none"/>
          <w:lang w:val="en-US" w:eastAsia="zh-CN"/>
        </w:rPr>
        <w:t>个工作日内组织相关部门实地核查规划、用地及风貌落实情况。符合要求的，出具《河源市农村宅基地建房（规划许可）验收表》并报县（区）自然资源部门备案。</w:t>
      </w:r>
    </w:p>
    <w:p w14:paraId="7140604E">
      <w:pPr>
        <w:pStyle w:val="3"/>
        <w:bidi w:val="0"/>
        <w:ind w:firstLine="640" w:firstLineChars="200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六、确权和流转</w:t>
      </w:r>
    </w:p>
    <w:p w14:paraId="1F858750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color w:val="auto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highlight w:val="none"/>
          <w:u w:val="none"/>
          <w:lang w:val="en-US" w:eastAsia="zh-CN"/>
        </w:rPr>
        <w:t>（一）确权登记</w:t>
      </w:r>
    </w:p>
    <w:p w14:paraId="4A1E440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验收合格后，农户可向县（区）不动产登记机构申请不动产登记；如有原住宅，同时申请注销原不动产权证书，拆除原有住宅、退还原有宅基地。</w:t>
      </w:r>
    </w:p>
    <w:p w14:paraId="3322C84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非本集体经济组织成员通过继承等方式合法取得农村住宅的，可按规定办理不动产登记；房屋存续期间可使用宅基地，房屋灭失后，宅基地由集体经济组织收回。</w:t>
      </w:r>
    </w:p>
    <w:p w14:paraId="4A9EAA9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楷体" w:hAnsi="楷体" w:eastAsia="楷体" w:cs="楷体"/>
          <w:color w:val="auto"/>
          <w:highlight w:val="none"/>
          <w:u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highlight w:val="none"/>
          <w:u w:val="none"/>
          <w:lang w:val="en-US" w:eastAsia="zh-CN"/>
        </w:rPr>
        <w:t>（二）产权流转</w:t>
      </w:r>
    </w:p>
    <w:p w14:paraId="5B1BDCD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宅基地使用权及房屋所有权转让、赠与、互换的，双方须为同一集体经济组织成员。转让前须经村集体经济组织同意、村委会证明，报镇农业农村办公室审核受让人是否符合“一户一宅”条件。双方在不动产登记机构签订合同并办理转移登记。</w:t>
      </w:r>
    </w:p>
    <w:p w14:paraId="22B7CC7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七、后期监管</w:t>
      </w:r>
    </w:p>
    <w:p w14:paraId="5122A5E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eastAsia="zh-CN"/>
        </w:rPr>
        <w:t>（一）</w:t>
      </w: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</w:rPr>
        <w:t>农房本体管理</w:t>
      </w:r>
    </w:p>
    <w:p w14:paraId="409A7FB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乡镇人民政府实行“巡查、发现、制止、引导”闭环管理：</w:t>
      </w:r>
    </w:p>
    <w:p w14:paraId="5F138FE8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1.组建队伍依据审批证件及设计方案进行全覆盖巡查，重点检查在建房屋或构筑物、</w:t>
      </w:r>
      <w:r>
        <w:rPr>
          <w:rFonts w:hint="default"/>
          <w:color w:val="auto"/>
          <w:highlight w:val="none"/>
          <w:u w:val="none"/>
          <w:lang w:val="en-US" w:eastAsia="zh-CN"/>
        </w:rPr>
        <w:t>施工安全、农房安全（含削坡建房）及风貌管控</w:t>
      </w:r>
      <w:r>
        <w:rPr>
          <w:rFonts w:hint="eastAsia"/>
          <w:color w:val="auto"/>
          <w:highlight w:val="none"/>
          <w:u w:val="none"/>
          <w:lang w:val="en-US" w:eastAsia="zh-CN"/>
        </w:rPr>
        <w:t>情况。</w:t>
      </w:r>
    </w:p>
    <w:p w14:paraId="7A8B8C0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2.对巡查中发现的非法占地建房、超占超标、违反规划建设、未批先建、未按图施工、擅自搭建、违法削坡等违法违规行为，立即现场制止、固定证据并上报执法部门处置。</w:t>
      </w:r>
    </w:p>
    <w:p w14:paraId="5263D4E1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eastAsia"/>
          <w:color w:val="auto"/>
          <w:highlight w:val="none"/>
          <w:u w:val="none"/>
          <w:lang w:val="en-US" w:eastAsia="zh-CN"/>
        </w:rPr>
        <w:t>3.引导农户统一改造提升农房风貌（可结合实际探索奖补机制），明确非结构类改造（如光伏安装、防水维修、坡顶改造等）的申报流程与标准，简化审批；涉及主体结构的改扩建须严格审批监管。</w:t>
      </w:r>
    </w:p>
    <w:p w14:paraId="392BA35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eastAsia="zh-CN"/>
        </w:rPr>
        <w:t>（二）</w:t>
      </w: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</w:rPr>
        <w:t>人居环境整治</w:t>
      </w:r>
    </w:p>
    <w:p w14:paraId="312DC668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</w:rPr>
      </w:pPr>
      <w:r>
        <w:rPr>
          <w:rFonts w:hint="eastAsia"/>
          <w:color w:val="auto"/>
          <w:highlight w:val="none"/>
          <w:u w:val="none"/>
        </w:rPr>
        <w:t>县、镇两级人民政府负责农村人居环境</w:t>
      </w:r>
      <w:r>
        <w:rPr>
          <w:rFonts w:hint="eastAsia"/>
          <w:color w:val="auto"/>
          <w:highlight w:val="none"/>
          <w:u w:val="none"/>
          <w:lang w:eastAsia="zh-CN"/>
        </w:rPr>
        <w:t>整治提升工作：</w:t>
      </w:r>
    </w:p>
    <w:p w14:paraId="246CC99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1</w:t>
      </w:r>
      <w:r>
        <w:rPr>
          <w:rFonts w:hint="eastAsia"/>
          <w:color w:val="auto"/>
          <w:highlight w:val="none"/>
          <w:u w:val="none"/>
          <w:lang w:val="en-US" w:eastAsia="zh-CN"/>
        </w:rPr>
        <w:t>.</w:t>
      </w:r>
      <w:r>
        <w:rPr>
          <w:rFonts w:hint="eastAsia"/>
          <w:color w:val="auto"/>
          <w:highlight w:val="none"/>
          <w:u w:val="none"/>
        </w:rPr>
        <w:t>强化基础设施建维。统筹推进</w:t>
      </w:r>
      <w:r>
        <w:rPr>
          <w:rFonts w:hint="eastAsia"/>
          <w:color w:val="auto"/>
          <w:highlight w:val="none"/>
          <w:u w:val="none"/>
          <w:lang w:eastAsia="zh-CN"/>
        </w:rPr>
        <w:t>农村</w:t>
      </w:r>
      <w:r>
        <w:rPr>
          <w:rFonts w:hint="eastAsia"/>
          <w:color w:val="auto"/>
          <w:highlight w:val="none"/>
          <w:u w:val="none"/>
        </w:rPr>
        <w:t>道路、供水、排水、污水治理、垃圾处理、照明、通信等基础设施建设与长效管护；建立健全定期巡查和应急抢修机制，加强第三方运营维护服务质量监管。</w:t>
      </w:r>
    </w:p>
    <w:p w14:paraId="4D23985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2</w:t>
      </w:r>
      <w:r>
        <w:rPr>
          <w:rFonts w:hint="eastAsia"/>
          <w:color w:val="auto"/>
          <w:highlight w:val="none"/>
          <w:u w:val="none"/>
          <w:lang w:val="en-US" w:eastAsia="zh-CN"/>
        </w:rPr>
        <w:t>.</w:t>
      </w:r>
      <w:r>
        <w:rPr>
          <w:rFonts w:hint="eastAsia"/>
          <w:color w:val="auto"/>
          <w:highlight w:val="none"/>
          <w:u w:val="none"/>
        </w:rPr>
        <w:t>深化人居环境整治。系统推进</w:t>
      </w:r>
      <w:r>
        <w:rPr>
          <w:rFonts w:hint="eastAsia"/>
          <w:color w:val="auto"/>
          <w:highlight w:val="none"/>
          <w:u w:val="none"/>
          <w:lang w:eastAsia="zh-CN"/>
        </w:rPr>
        <w:t>生活</w:t>
      </w:r>
      <w:r>
        <w:rPr>
          <w:rFonts w:hint="eastAsia"/>
          <w:color w:val="auto"/>
          <w:highlight w:val="none"/>
          <w:u w:val="none"/>
        </w:rPr>
        <w:t>垃圾</w:t>
      </w:r>
      <w:r>
        <w:rPr>
          <w:rFonts w:hint="eastAsia"/>
          <w:color w:val="auto"/>
          <w:highlight w:val="none"/>
          <w:u w:val="none"/>
          <w:lang w:eastAsia="zh-CN"/>
        </w:rPr>
        <w:t>处</w:t>
      </w:r>
      <w:r>
        <w:rPr>
          <w:rFonts w:hint="eastAsia"/>
          <w:color w:val="auto"/>
          <w:highlight w:val="none"/>
          <w:u w:val="none"/>
        </w:rPr>
        <w:t>理、污水治理、农村厕所改造与管护、</w:t>
      </w:r>
      <w:r>
        <w:rPr>
          <w:rFonts w:hint="eastAsia"/>
          <w:color w:val="auto"/>
          <w:highlight w:val="none"/>
          <w:u w:val="none"/>
          <w:lang w:eastAsia="zh-CN"/>
        </w:rPr>
        <w:t>“</w:t>
      </w:r>
      <w:r>
        <w:rPr>
          <w:rFonts w:hint="eastAsia"/>
          <w:color w:val="auto"/>
          <w:highlight w:val="none"/>
          <w:u w:val="none"/>
        </w:rPr>
        <w:t>三线</w:t>
      </w:r>
      <w:r>
        <w:rPr>
          <w:rFonts w:hint="eastAsia"/>
          <w:color w:val="auto"/>
          <w:highlight w:val="none"/>
          <w:u w:val="none"/>
          <w:lang w:eastAsia="zh-CN"/>
        </w:rPr>
        <w:t>”</w:t>
      </w:r>
      <w:r>
        <w:rPr>
          <w:rFonts w:hint="eastAsia"/>
          <w:color w:val="auto"/>
          <w:highlight w:val="none"/>
          <w:u w:val="none"/>
        </w:rPr>
        <w:t>整治和</w:t>
      </w:r>
      <w:r>
        <w:rPr>
          <w:rFonts w:hint="eastAsia"/>
          <w:color w:val="auto"/>
          <w:highlight w:val="none"/>
          <w:u w:val="none"/>
          <w:lang w:eastAsia="zh-CN"/>
        </w:rPr>
        <w:t>“</w:t>
      </w:r>
      <w:r>
        <w:rPr>
          <w:rFonts w:hint="eastAsia"/>
          <w:color w:val="auto"/>
          <w:highlight w:val="none"/>
          <w:u w:val="none"/>
        </w:rPr>
        <w:t>六乱</w:t>
      </w:r>
      <w:r>
        <w:rPr>
          <w:rFonts w:hint="eastAsia"/>
          <w:color w:val="auto"/>
          <w:highlight w:val="none"/>
          <w:u w:val="none"/>
          <w:lang w:eastAsia="zh-CN"/>
        </w:rPr>
        <w:t>”</w:t>
      </w:r>
      <w:r>
        <w:rPr>
          <w:rFonts w:hint="eastAsia"/>
          <w:color w:val="auto"/>
          <w:highlight w:val="none"/>
          <w:u w:val="none"/>
        </w:rPr>
        <w:t>治理等常态化工作；持续推进村庄绿化美化，重点加强</w:t>
      </w:r>
      <w:r>
        <w:rPr>
          <w:rFonts w:hint="eastAsia"/>
          <w:color w:val="auto"/>
          <w:highlight w:val="none"/>
          <w:u w:val="none"/>
          <w:lang w:eastAsia="zh-CN"/>
        </w:rPr>
        <w:t>“</w:t>
      </w:r>
      <w:r>
        <w:rPr>
          <w:rFonts w:hint="eastAsia"/>
          <w:color w:val="auto"/>
          <w:highlight w:val="none"/>
          <w:u w:val="none"/>
        </w:rPr>
        <w:t>四旁</w:t>
      </w:r>
      <w:r>
        <w:rPr>
          <w:rFonts w:hint="eastAsia"/>
          <w:color w:val="auto"/>
          <w:highlight w:val="none"/>
          <w:u w:val="none"/>
          <w:lang w:eastAsia="zh-CN"/>
        </w:rPr>
        <w:t>”“</w:t>
      </w:r>
      <w:r>
        <w:rPr>
          <w:rFonts w:hint="eastAsia"/>
          <w:color w:val="auto"/>
          <w:highlight w:val="none"/>
          <w:u w:val="none"/>
        </w:rPr>
        <w:t>五边</w:t>
      </w:r>
      <w:r>
        <w:rPr>
          <w:rFonts w:hint="eastAsia"/>
          <w:color w:val="auto"/>
          <w:highlight w:val="none"/>
          <w:u w:val="none"/>
          <w:lang w:eastAsia="zh-CN"/>
        </w:rPr>
        <w:t>”</w:t>
      </w:r>
      <w:r>
        <w:rPr>
          <w:rFonts w:hint="eastAsia"/>
          <w:color w:val="auto"/>
          <w:highlight w:val="none"/>
          <w:u w:val="none"/>
        </w:rPr>
        <w:t>绿化，有序实施</w:t>
      </w:r>
      <w:r>
        <w:rPr>
          <w:rFonts w:hint="eastAsia"/>
          <w:color w:val="auto"/>
          <w:highlight w:val="none"/>
          <w:u w:val="none"/>
          <w:lang w:eastAsia="zh-CN"/>
        </w:rPr>
        <w:t>“</w:t>
      </w:r>
      <w:r>
        <w:rPr>
          <w:rFonts w:hint="eastAsia"/>
          <w:color w:val="auto"/>
          <w:highlight w:val="none"/>
          <w:u w:val="none"/>
        </w:rPr>
        <w:t>五个一</w:t>
      </w:r>
      <w:r>
        <w:rPr>
          <w:rFonts w:hint="eastAsia"/>
          <w:color w:val="auto"/>
          <w:highlight w:val="none"/>
          <w:u w:val="none"/>
          <w:lang w:eastAsia="zh-CN"/>
        </w:rPr>
        <w:t>”</w:t>
      </w:r>
      <w:r>
        <w:rPr>
          <w:rFonts w:hint="eastAsia"/>
          <w:color w:val="auto"/>
          <w:highlight w:val="none"/>
          <w:u w:val="none"/>
        </w:rPr>
        <w:t>小生态板块建设。</w:t>
      </w:r>
    </w:p>
    <w:p w14:paraId="6523861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highlight w:val="none"/>
          <w:u w:val="none"/>
          <w:lang w:val="en-US" w:eastAsia="zh-CN"/>
        </w:rPr>
        <w:t>3</w:t>
      </w:r>
      <w:r>
        <w:rPr>
          <w:rFonts w:hint="eastAsia"/>
          <w:color w:val="auto"/>
          <w:highlight w:val="none"/>
          <w:u w:val="none"/>
          <w:lang w:val="en-US" w:eastAsia="zh-CN"/>
        </w:rPr>
        <w:t>.</w:t>
      </w:r>
      <w:r>
        <w:rPr>
          <w:rFonts w:hint="eastAsia"/>
          <w:color w:val="auto"/>
          <w:highlight w:val="none"/>
          <w:u w:val="none"/>
        </w:rPr>
        <w:t>推动群众参与共治。广泛发动村民落实</w:t>
      </w:r>
      <w:r>
        <w:rPr>
          <w:rFonts w:hint="eastAsia"/>
          <w:color w:val="auto"/>
          <w:highlight w:val="none"/>
          <w:u w:val="none"/>
          <w:lang w:eastAsia="zh-CN"/>
        </w:rPr>
        <w:t>“</w:t>
      </w:r>
      <w:r>
        <w:rPr>
          <w:rFonts w:hint="eastAsia"/>
          <w:color w:val="auto"/>
          <w:highlight w:val="none"/>
          <w:u w:val="none"/>
        </w:rPr>
        <w:t>门前三包</w:t>
      </w:r>
      <w:r>
        <w:rPr>
          <w:rFonts w:hint="eastAsia"/>
          <w:color w:val="auto"/>
          <w:highlight w:val="none"/>
          <w:u w:val="none"/>
          <w:lang w:eastAsia="zh-CN"/>
        </w:rPr>
        <w:t>”</w:t>
      </w:r>
      <w:r>
        <w:rPr>
          <w:rFonts w:hint="eastAsia"/>
          <w:color w:val="auto"/>
          <w:highlight w:val="none"/>
          <w:u w:val="none"/>
        </w:rPr>
        <w:t>责任制，自觉维护庭院及周边环境整洁，爱护公共设施；积极组织群众参与公共区域清洁、绿化和美化活动；引导群众支持配合闲置</w:t>
      </w:r>
      <w:r>
        <w:rPr>
          <w:rFonts w:hint="eastAsia"/>
          <w:color w:val="auto"/>
          <w:highlight w:val="none"/>
          <w:u w:val="none"/>
          <w:lang w:eastAsia="zh-CN"/>
        </w:rPr>
        <w:t>土地</w:t>
      </w:r>
      <w:r>
        <w:rPr>
          <w:rFonts w:hint="eastAsia"/>
          <w:color w:val="auto"/>
          <w:highlight w:val="none"/>
          <w:u w:val="none"/>
        </w:rPr>
        <w:t>整合利用，共同打造公共服务与休闲空间。</w:t>
      </w:r>
    </w:p>
    <w:p w14:paraId="78950F7A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highlight w:val="none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八、</w:t>
      </w:r>
      <w:r>
        <w:rPr>
          <w:rFonts w:hint="eastAsia" w:ascii="方正黑体_GBK" w:hAnsi="方正黑体_GBK" w:eastAsia="方正黑体_GBK" w:cs="方正黑体_GBK"/>
          <w:color w:val="auto"/>
          <w:highlight w:val="none"/>
          <w:u w:val="none"/>
          <w:lang w:val="en-US" w:eastAsia="zh-CN"/>
        </w:rPr>
        <w:t>工作机制</w:t>
      </w:r>
    </w:p>
    <w:p w14:paraId="17D3587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（一）建立健全市县联合检查机制。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由市县农业农村、自然资源、住房城乡建设、市场监管等部门组成联合检查组，定期开展抽查，重点核查宅基地审批不规范、建房全过程监管缺失及建筑材料质量不合格等突出问题</w:t>
      </w:r>
      <w:r>
        <w:rPr>
          <w:rFonts w:hint="eastAsia" w:ascii="方正仿宋_GBK" w:hAnsi="方正仿宋_GBK" w:cs="方正仿宋_GBK"/>
          <w:color w:val="auto"/>
          <w:highlight w:val="none"/>
          <w:u w:val="none"/>
          <w:lang w:val="en-US" w:eastAsia="zh-CN"/>
        </w:rPr>
        <w:t>。</w:t>
      </w:r>
    </w:p>
    <w:p w14:paraId="11D6D699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eastAsia="方正仿宋_GBK"/>
          <w:color w:val="auto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（二）实施镇村网格化监管。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镇、村整合驻镇帮镇扶村工作队、第一书记、村</w:t>
      </w:r>
      <w:r>
        <w:rPr>
          <w:rFonts w:hint="eastAsia" w:ascii="方正仿宋_GBK" w:hAnsi="方正仿宋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“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两委</w:t>
      </w:r>
      <w:r>
        <w:rPr>
          <w:rFonts w:hint="eastAsia" w:ascii="方正仿宋_GBK" w:hAnsi="方正仿宋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”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干部等力量，组建专职巡查队伍，按片区落实管理员，实行网格化监管，切实履行日常巡查、监督和查处职责</w:t>
      </w:r>
      <w:r>
        <w:rPr>
          <w:rFonts w:hint="eastAsia" w:ascii="方正仿宋_GBK" w:hAnsi="方正仿宋_GBK" w:cs="方正仿宋_GBK"/>
          <w:color w:val="auto"/>
          <w:highlight w:val="none"/>
          <w:u w:val="none"/>
          <w:lang w:val="en-US" w:eastAsia="zh-CN"/>
        </w:rPr>
        <w:t>。</w:t>
      </w:r>
    </w:p>
    <w:p w14:paraId="116E82D6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highlight w:val="none"/>
          <w:u w:val="none"/>
          <w:lang w:val="en-US" w:eastAsia="zh-CN"/>
        </w:rPr>
        <w:t>（三）强化镇级综合执法。</w:t>
      </w:r>
      <w:r>
        <w:rPr>
          <w:rFonts w:hint="default"/>
          <w:color w:val="auto"/>
          <w:highlight w:val="none"/>
          <w:u w:val="none"/>
          <w:lang w:val="en-US" w:eastAsia="zh-CN"/>
        </w:rPr>
        <w:t>依法将宅基地行政执法职权下放至乡镇，由乡镇人民政府整合执法资源，以综合行政执法办公室（队）为主体，协同农业农村、住房建设、自然资源等</w:t>
      </w:r>
      <w:r>
        <w:rPr>
          <w:rFonts w:hint="eastAsia"/>
          <w:color w:val="auto"/>
          <w:highlight w:val="none"/>
          <w:u w:val="none"/>
          <w:lang w:val="en-US" w:eastAsia="zh-CN"/>
        </w:rPr>
        <w:t>内设或</w:t>
      </w:r>
      <w:r>
        <w:rPr>
          <w:rFonts w:hint="default"/>
          <w:color w:val="auto"/>
          <w:highlight w:val="none"/>
          <w:u w:val="none"/>
          <w:lang w:val="en-US" w:eastAsia="zh-CN"/>
        </w:rPr>
        <w:t>派驻（出）机构开展联合执法，提升执法效能。</w:t>
      </w:r>
    </w:p>
    <w:p w14:paraId="7C89F78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Arial" w:hAnsi="Arial" w:eastAsia="方正黑体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</w:pPr>
      <w:r>
        <w:rPr>
          <w:rFonts w:hint="eastAsia" w:ascii="Arial" w:hAnsi="Arial" w:eastAsia="方正黑体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九</w:t>
      </w:r>
      <w:r>
        <w:rPr>
          <w:rFonts w:hint="default" w:ascii="Arial" w:hAnsi="Arial" w:eastAsia="方正黑体_GBK" w:cs="方正仿宋_GBK"/>
          <w:color w:val="auto"/>
          <w:kern w:val="2"/>
          <w:sz w:val="32"/>
          <w:szCs w:val="40"/>
          <w:highlight w:val="none"/>
          <w:u w:val="none"/>
          <w:lang w:val="en-US" w:eastAsia="zh-CN" w:bidi="ar-SA"/>
        </w:rPr>
        <w:t>、实施时间</w:t>
      </w:r>
    </w:p>
    <w:p w14:paraId="0F6B48C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color w:val="auto"/>
          <w:highlight w:val="none"/>
          <w:u w:val="none"/>
          <w:lang w:val="en-US" w:eastAsia="zh-CN"/>
        </w:rPr>
      </w:pPr>
      <w:r>
        <w:rPr>
          <w:rFonts w:hint="default"/>
          <w:color w:val="auto"/>
          <w:highlight w:val="none"/>
          <w:u w:val="none"/>
          <w:lang w:val="en-US" w:eastAsia="zh-CN"/>
        </w:rPr>
        <w:t>本《意见》自</w:t>
      </w:r>
      <w:r>
        <w:rPr>
          <w:rFonts w:hint="eastAsia"/>
          <w:color w:val="auto"/>
          <w:highlight w:val="none"/>
          <w:u w:val="none"/>
          <w:lang w:val="en-US" w:eastAsia="zh-CN"/>
        </w:rPr>
        <w:t>2026年1月1日</w:t>
      </w:r>
      <w:r>
        <w:rPr>
          <w:rFonts w:hint="default"/>
          <w:color w:val="auto"/>
          <w:highlight w:val="none"/>
          <w:u w:val="none"/>
          <w:lang w:val="en-US" w:eastAsia="zh-CN"/>
        </w:rPr>
        <w:t>起施行，有效期</w:t>
      </w:r>
      <w:r>
        <w:rPr>
          <w:rFonts w:hint="eastAsia"/>
          <w:color w:val="auto"/>
          <w:highlight w:val="none"/>
          <w:u w:val="none"/>
          <w:lang w:val="en-US" w:eastAsia="zh-CN"/>
        </w:rPr>
        <w:t>至2030年12月31日</w:t>
      </w:r>
      <w:r>
        <w:rPr>
          <w:rFonts w:hint="default"/>
          <w:color w:val="auto"/>
          <w:highlight w:val="none"/>
          <w:u w:val="none"/>
          <w:lang w:val="en-US" w:eastAsia="zh-CN"/>
        </w:rPr>
        <w:t>。实施期间</w:t>
      </w:r>
      <w:r>
        <w:rPr>
          <w:rFonts w:hint="eastAsia"/>
          <w:color w:val="auto"/>
          <w:highlight w:val="none"/>
          <w:u w:val="none"/>
          <w:lang w:val="en-US" w:eastAsia="zh-CN"/>
        </w:rPr>
        <w:t>，</w:t>
      </w:r>
      <w:r>
        <w:rPr>
          <w:rFonts w:hint="default"/>
          <w:color w:val="auto"/>
          <w:highlight w:val="none"/>
          <w:u w:val="none"/>
          <w:lang w:val="en-US" w:eastAsia="zh-CN"/>
        </w:rPr>
        <w:t>本《意见》与上级政策不一致的，以上级规定为准。街道办事处参照本</w:t>
      </w:r>
      <w:r>
        <w:rPr>
          <w:rFonts w:hint="eastAsia"/>
          <w:color w:val="auto"/>
          <w:highlight w:val="none"/>
          <w:u w:val="none"/>
          <w:lang w:val="en-US" w:eastAsia="zh-CN"/>
        </w:rPr>
        <w:t>《意见》</w:t>
      </w:r>
      <w:r>
        <w:rPr>
          <w:rFonts w:hint="default"/>
          <w:color w:val="auto"/>
          <w:highlight w:val="none"/>
          <w:u w:val="none"/>
          <w:lang w:val="en-US" w:eastAsia="zh-CN"/>
        </w:rPr>
        <w:t>规定的乡镇职责</w:t>
      </w:r>
      <w:r>
        <w:rPr>
          <w:rFonts w:hint="eastAsia"/>
          <w:color w:val="auto"/>
          <w:highlight w:val="none"/>
          <w:u w:val="none"/>
          <w:lang w:val="en-US" w:eastAsia="zh-CN"/>
        </w:rPr>
        <w:t>执行。</w:t>
      </w:r>
    </w:p>
    <w:p w14:paraId="696A881B">
      <w:pPr>
        <w:pStyle w:val="11"/>
        <w:numPr>
          <w:ilvl w:val="0"/>
          <w:numId w:val="0"/>
        </w:numPr>
        <w:bidi w:val="0"/>
        <w:ind w:firstLine="0" w:firstLineChars="0"/>
        <w:rPr>
          <w:rFonts w:hint="default"/>
          <w:highlight w:val="none"/>
          <w:lang w:val="en-US" w:eastAsia="zh-CN"/>
        </w:rPr>
      </w:pPr>
    </w:p>
    <w:p w14:paraId="15A9085D">
      <w:pPr>
        <w:pStyle w:val="11"/>
        <w:numPr>
          <w:ilvl w:val="0"/>
          <w:numId w:val="0"/>
        </w:numPr>
        <w:bidi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附件：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1</w:t>
      </w:r>
      <w:r>
        <w:rPr>
          <w:rFonts w:hint="eastAsia"/>
          <w:highlight w:val="none"/>
          <w:lang w:val="en-US" w:eastAsia="zh-CN"/>
        </w:rPr>
        <w:t>. 农村宅基地申请材料清单</w:t>
      </w:r>
    </w:p>
    <w:p w14:paraId="2B5A96C8">
      <w:pPr>
        <w:pStyle w:val="11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rFonts w:hint="eastAsia" w:ascii="Calibri" w:hAnsi="Calibri" w:eastAsia="方正仿宋_GBK" w:cs="Times New Roman"/>
          <w:kern w:val="0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2</w:t>
      </w:r>
      <w:r>
        <w:rPr>
          <w:rFonts w:hint="eastAsia"/>
          <w:highlight w:val="none"/>
          <w:lang w:val="en-US" w:eastAsia="zh-CN"/>
        </w:rPr>
        <w:t xml:space="preserve">. </w:t>
      </w:r>
      <w:r>
        <w:rPr>
          <w:rStyle w:val="15"/>
          <w:rFonts w:hint="eastAsia" w:eastAsia="方正仿宋_GBK" w:cs="Times New Roman"/>
          <w:kern w:val="0"/>
          <w:sz w:val="32"/>
          <w:highlight w:val="none"/>
          <w:lang w:eastAsia="zh-CN"/>
        </w:rPr>
        <w:t>河源市</w:t>
      </w:r>
      <w:r>
        <w:rPr>
          <w:rStyle w:val="15"/>
          <w:rFonts w:hint="eastAsia" w:eastAsia="方正仿宋_GBK" w:cs="Times New Roman"/>
          <w:kern w:val="0"/>
          <w:sz w:val="32"/>
          <w:highlight w:val="none"/>
        </w:rPr>
        <w:t>农村宅基地</w:t>
      </w:r>
      <w:r>
        <w:rPr>
          <w:rStyle w:val="15"/>
          <w:rFonts w:hint="eastAsia" w:eastAsia="方正仿宋_GBK" w:cs="Times New Roman"/>
          <w:kern w:val="0"/>
          <w:sz w:val="32"/>
          <w:highlight w:val="none"/>
          <w:lang w:eastAsia="zh-CN"/>
        </w:rPr>
        <w:t>审批流程图</w:t>
      </w:r>
    </w:p>
    <w:p w14:paraId="152823A1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68022A85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104ABD12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35D790F4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43803EEB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659C3F6F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2503A2E2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35D850FE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18B7542B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66022D67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5974F562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2470BDCA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0F27DE24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62D8366C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0B7A15B5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0110312B">
      <w:pPr>
        <w:pStyle w:val="11"/>
        <w:numPr>
          <w:ilvl w:val="0"/>
          <w:numId w:val="0"/>
        </w:numPr>
        <w:bidi w:val="0"/>
        <w:ind w:firstLine="960" w:firstLineChars="300"/>
        <w:rPr>
          <w:rFonts w:hint="default"/>
          <w:highlight w:val="none"/>
          <w:lang w:val="en-US" w:eastAsia="zh-CN"/>
        </w:rPr>
      </w:pPr>
    </w:p>
    <w:p w14:paraId="3538A38F">
      <w:pPr>
        <w:jc w:val="left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1</w:t>
      </w:r>
      <w:r>
        <w:rPr>
          <w:rFonts w:hint="eastAsia"/>
          <w:highlight w:val="none"/>
          <w:lang w:val="en-US" w:eastAsia="zh-CN"/>
        </w:rPr>
        <w:t>：</w:t>
      </w:r>
    </w:p>
    <w:p w14:paraId="0092E759">
      <w:pPr>
        <w:pStyle w:val="2"/>
        <w:bidi w:val="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农村宅基地申请材料清单</w:t>
      </w:r>
    </w:p>
    <w:p w14:paraId="492A0CCF">
      <w:pPr>
        <w:ind w:firstLine="640" w:firstLineChars="200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申请宅基地需提交以下材料，材料需真实、完整、有效：</w:t>
      </w:r>
    </w:p>
    <w:p w14:paraId="564A97E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1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default"/>
          <w:highlight w:val="none"/>
          <w:lang w:val="en-US" w:eastAsia="zh-CN"/>
        </w:rPr>
        <w:t>《河源市农村宅基地申请表》</w:t>
      </w:r>
      <w:r>
        <w:rPr>
          <w:rFonts w:hint="eastAsia"/>
          <w:highlight w:val="none"/>
          <w:lang w:val="en-US" w:eastAsia="zh-CN"/>
        </w:rPr>
        <w:t>；</w:t>
      </w:r>
    </w:p>
    <w:p w14:paraId="3197C55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2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default"/>
          <w:highlight w:val="none"/>
          <w:lang w:val="en-US" w:eastAsia="zh-CN"/>
        </w:rPr>
        <w:t>申请人身份证及户口簿</w:t>
      </w:r>
      <w:r>
        <w:rPr>
          <w:rFonts w:hint="eastAsia"/>
          <w:highlight w:val="none"/>
          <w:lang w:val="en-US" w:eastAsia="zh-CN"/>
        </w:rPr>
        <w:t>复印件（需核对原件）；</w:t>
      </w:r>
    </w:p>
    <w:p w14:paraId="4A061BD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3</w:t>
      </w:r>
      <w:r>
        <w:rPr>
          <w:rFonts w:hint="eastAsia"/>
          <w:highlight w:val="none"/>
          <w:lang w:val="en-US" w:eastAsia="zh-CN"/>
        </w:rPr>
        <w:t>.</w:t>
      </w:r>
      <w:r>
        <w:rPr>
          <w:rFonts w:hint="default"/>
          <w:highlight w:val="none"/>
          <w:lang w:val="en-US" w:eastAsia="zh-CN"/>
        </w:rPr>
        <w:t>《农村宅基地使用承诺书》</w:t>
      </w:r>
      <w:r>
        <w:rPr>
          <w:rFonts w:hint="eastAsia"/>
          <w:highlight w:val="none"/>
          <w:lang w:val="en-US" w:eastAsia="zh-CN"/>
        </w:rPr>
        <w:t>；</w:t>
      </w:r>
    </w:p>
    <w:p w14:paraId="66C3C16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4</w:t>
      </w:r>
      <w:r>
        <w:rPr>
          <w:rFonts w:hint="eastAsia"/>
          <w:highlight w:val="none"/>
          <w:lang w:val="en-US" w:eastAsia="zh-CN"/>
        </w:rPr>
        <w:t>.宗地红线图、规划总平面图、</w:t>
      </w:r>
      <w:r>
        <w:rPr>
          <w:rFonts w:hint="eastAsia" w:ascii="方正仿宋_GBK" w:hAnsi="方正仿宋_GBK" w:cs="方正仿宋_GBK"/>
          <w:sz w:val="32"/>
          <w:szCs w:val="32"/>
          <w:highlight w:val="none"/>
          <w:vertAlign w:val="baseline"/>
          <w:lang w:eastAsia="zh-CN"/>
        </w:rPr>
        <w:t>建筑户型及外观设计图（需正规设计测绘单位出具并加盖公章）</w:t>
      </w:r>
      <w:r>
        <w:rPr>
          <w:rFonts w:hint="eastAsia"/>
          <w:highlight w:val="none"/>
          <w:lang w:val="en-US" w:eastAsia="zh-CN"/>
        </w:rPr>
        <w:t>；</w:t>
      </w:r>
    </w:p>
    <w:p w14:paraId="1643520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5.</w:t>
      </w:r>
      <w:r>
        <w:rPr>
          <w:rFonts w:hint="default"/>
          <w:highlight w:val="none"/>
          <w:lang w:val="en-US" w:eastAsia="zh-CN"/>
        </w:rPr>
        <w:t>原宅基地使用权证明</w:t>
      </w:r>
      <w:r>
        <w:rPr>
          <w:rFonts w:hint="eastAsia"/>
          <w:highlight w:val="none"/>
          <w:lang w:val="en-US" w:eastAsia="zh-CN"/>
        </w:rPr>
        <w:t>或不动产权证明</w:t>
      </w:r>
      <w:r>
        <w:rPr>
          <w:rFonts w:hint="default"/>
          <w:highlight w:val="none"/>
          <w:lang w:val="en-US" w:eastAsia="zh-CN"/>
        </w:rPr>
        <w:t>（</w:t>
      </w:r>
      <w:r>
        <w:rPr>
          <w:rFonts w:hint="eastAsia"/>
          <w:highlight w:val="none"/>
          <w:lang w:val="en-US" w:eastAsia="zh-CN"/>
        </w:rPr>
        <w:t>仅</w:t>
      </w:r>
      <w:r>
        <w:rPr>
          <w:rFonts w:hint="default"/>
          <w:highlight w:val="none"/>
          <w:lang w:val="en-US" w:eastAsia="zh-CN"/>
        </w:rPr>
        <w:t>改建</w:t>
      </w:r>
      <w:r>
        <w:rPr>
          <w:rFonts w:hint="eastAsia"/>
          <w:highlight w:val="none"/>
          <w:lang w:val="en-US" w:eastAsia="zh-CN"/>
        </w:rPr>
        <w:t>、</w:t>
      </w:r>
      <w:r>
        <w:rPr>
          <w:rFonts w:hint="default"/>
          <w:highlight w:val="none"/>
          <w:lang w:val="en-US" w:eastAsia="zh-CN"/>
        </w:rPr>
        <w:t>扩建</w:t>
      </w:r>
      <w:r>
        <w:rPr>
          <w:rFonts w:hint="eastAsia"/>
          <w:highlight w:val="none"/>
          <w:lang w:val="en-US" w:eastAsia="zh-CN"/>
        </w:rPr>
        <w:t>申请</w:t>
      </w:r>
      <w:r>
        <w:rPr>
          <w:rFonts w:hint="default"/>
          <w:highlight w:val="none"/>
          <w:lang w:val="en-US" w:eastAsia="zh-CN"/>
        </w:rPr>
        <w:t>需提</w:t>
      </w:r>
      <w:r>
        <w:rPr>
          <w:rFonts w:hint="eastAsia"/>
          <w:highlight w:val="none"/>
          <w:lang w:val="en-US" w:eastAsia="zh-CN"/>
        </w:rPr>
        <w:t>交</w:t>
      </w:r>
      <w:r>
        <w:rPr>
          <w:rFonts w:hint="default"/>
          <w:highlight w:val="none"/>
          <w:lang w:val="en-US" w:eastAsia="zh-CN"/>
        </w:rPr>
        <w:t>）。</w:t>
      </w:r>
    </w:p>
    <w:p w14:paraId="3ECED295">
      <w:pPr>
        <w:rPr>
          <w:rFonts w:hint="eastAsia" w:ascii="方正仿宋_GBK" w:hAnsi="方正仿宋_GBK" w:eastAsia="方正仿宋_GBK" w:cs="方正仿宋_GBK"/>
          <w:highlight w:val="none"/>
          <w:lang w:val="en-US" w:eastAsia="zh-CN"/>
        </w:rPr>
      </w:pPr>
    </w:p>
    <w:p w14:paraId="2C976767">
      <w:pPr>
        <w:rPr>
          <w:rFonts w:hint="eastAsia" w:ascii="方正仿宋_GBK" w:hAnsi="方正仿宋_GBK" w:eastAsia="方正仿宋_GBK" w:cs="方正仿宋_GBK"/>
          <w:highlight w:val="none"/>
          <w:lang w:val="en-US" w:eastAsia="zh-CN"/>
        </w:rPr>
      </w:pPr>
    </w:p>
    <w:p w14:paraId="086170CE">
      <w:pPr>
        <w:rPr>
          <w:rFonts w:hint="eastAsia" w:ascii="方正仿宋_GBK" w:hAnsi="方正仿宋_GBK" w:cs="方正仿宋_GBK"/>
          <w:highlight w:val="none"/>
          <w:lang w:val="en-US" w:eastAsia="zh-CN"/>
        </w:rPr>
      </w:pPr>
      <w:r>
        <w:rPr>
          <w:rFonts w:hint="eastAsia" w:ascii="方正仿宋_GBK" w:hAnsi="方正仿宋_GBK" w:cs="方正仿宋_GBK"/>
          <w:highlight w:val="none"/>
          <w:lang w:val="en-US" w:eastAsia="zh-CN"/>
        </w:rPr>
        <w:br w:type="page"/>
      </w:r>
    </w:p>
    <w:p w14:paraId="3D4969F0">
      <w:pPr>
        <w:rPr>
          <w:rFonts w:hint="eastAsia" w:ascii="方正仿宋_GBK" w:hAnsi="方正仿宋_GBK" w:cs="方正仿宋_GBK"/>
          <w:highlight w:val="none"/>
          <w:lang w:val="en-US" w:eastAsia="zh-CN"/>
        </w:rPr>
        <w:sectPr>
          <w:footerReference r:id="rId5" w:type="default"/>
          <w:pgSz w:w="11905" w:h="16838"/>
          <w:pgMar w:top="1701" w:right="1474" w:bottom="1474" w:left="1587" w:header="0" w:footer="969" w:gutter="0"/>
          <w:pgNumType w:start="1"/>
          <w:cols w:space="0" w:num="1"/>
          <w:rtlGutter w:val="0"/>
          <w:docGrid w:linePitch="442" w:charSpace="0"/>
        </w:sectPr>
      </w:pPr>
    </w:p>
    <w:p w14:paraId="3616B202">
      <w:pPr>
        <w:rPr>
          <w:rFonts w:hint="eastAsia" w:ascii="方正仿宋_GBK" w:hAnsi="方正仿宋_GBK" w:cs="方正仿宋_GBK"/>
          <w:highlight w:val="none"/>
          <w:lang w:val="en-US" w:eastAsia="zh-CN"/>
        </w:rPr>
      </w:pPr>
      <w:r>
        <w:rPr>
          <w:rFonts w:hint="eastAsia" w:ascii="方正仿宋_GBK" w:hAnsi="方正仿宋_GBK" w:cs="方正仿宋_GBK"/>
          <w:highlight w:val="none"/>
          <w:lang w:val="en-US" w:eastAsia="zh-CN"/>
        </w:rPr>
        <w:t>附件</w:t>
      </w: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2</w:t>
      </w:r>
      <w:r>
        <w:rPr>
          <w:rFonts w:hint="eastAsia" w:ascii="方正仿宋_GBK" w:hAnsi="方正仿宋_GBK" w:cs="方正仿宋_GBK"/>
          <w:highlight w:val="none"/>
          <w:lang w:val="en-US" w:eastAsia="zh-CN"/>
        </w:rPr>
        <w:t>：</w:t>
      </w:r>
    </w:p>
    <w:p w14:paraId="7125FE01">
      <w:pPr>
        <w:jc w:val="center"/>
        <w:rPr>
          <w:rStyle w:val="21"/>
          <w:rFonts w:hint="eastAsia"/>
          <w:highlight w:val="none"/>
          <w:lang w:eastAsia="zh-CN"/>
        </w:rPr>
      </w:pPr>
      <w:r>
        <w:rPr>
          <w:rStyle w:val="21"/>
          <w:rFonts w:hint="eastAsia"/>
          <w:highlight w:val="none"/>
          <w:lang w:eastAsia="zh-CN"/>
        </w:rPr>
        <w:t>河源市</w:t>
      </w:r>
      <w:r>
        <w:rPr>
          <w:rStyle w:val="21"/>
          <w:rFonts w:hint="eastAsia"/>
          <w:highlight w:val="none"/>
        </w:rPr>
        <w:t>农村宅基地</w:t>
      </w:r>
      <w:r>
        <w:rPr>
          <w:rStyle w:val="21"/>
          <w:rFonts w:hint="eastAsia"/>
          <w:highlight w:val="none"/>
          <w:lang w:eastAsia="zh-CN"/>
        </w:rPr>
        <w:t>审批流程图</w:t>
      </w:r>
    </w:p>
    <w:p w14:paraId="4273DD86">
      <w:pPr>
        <w:spacing w:line="240" w:lineRule="auto"/>
        <w:ind w:firstLine="0" w:firstLineChars="0"/>
        <w:jc w:val="center"/>
      </w:pPr>
      <w:r>
        <w:drawing>
          <wp:inline distT="0" distB="0" distL="114300" distR="114300">
            <wp:extent cx="8667115" cy="4738370"/>
            <wp:effectExtent l="0" t="0" r="635" b="5080"/>
            <wp:docPr id="3" name="图片 3" descr="宅基地审批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宅基地审批流程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67115" cy="47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D1CB6">
      <w:pPr>
        <w:spacing w:line="240" w:lineRule="auto"/>
        <w:ind w:firstLine="0" w:firstLineChars="0"/>
        <w:jc w:val="center"/>
        <w:rPr>
          <w:rFonts w:hint="default"/>
          <w:lang w:val="en-US" w:eastAsia="zh-CN"/>
        </w:rPr>
        <w:sectPr>
          <w:pgSz w:w="16838" w:h="11905" w:orient="landscape"/>
          <w:pgMar w:top="1587" w:right="1701" w:bottom="1474" w:left="1474" w:header="0" w:footer="969" w:gutter="0"/>
          <w:cols w:space="0" w:num="1"/>
          <w:rtlGutter w:val="0"/>
          <w:docGrid w:linePitch="442" w:charSpace="0"/>
        </w:sectPr>
      </w:pPr>
    </w:p>
    <w:p w14:paraId="18415A50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52FC6BCA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2F68D555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40AF246D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0A4817C7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43EC8F2B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1AA7CDE9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479376A1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0132FD2C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5BFF8F7A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43EA2A72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506810DB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495FD958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5F148075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68DA54A7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086AC896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1EB0F087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215D3220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18830FBE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677466AD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29002FA6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27F6EAC9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629C3D6C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21DE6167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16270FDF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5F124F28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65E0B6F6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65A6F64B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476632B1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5B1755C5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752F842C">
      <w:pPr>
        <w:spacing w:line="240" w:lineRule="auto"/>
        <w:ind w:firstLine="0" w:firstLineChars="0"/>
        <w:jc w:val="left"/>
        <w:rPr>
          <w:rFonts w:hint="default"/>
          <w:lang w:val="en-US" w:eastAsia="zh-CN"/>
        </w:rPr>
      </w:pPr>
    </w:p>
    <w:p w14:paraId="7DCE1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公开方式：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主动公开                                    </w:t>
      </w:r>
    </w:p>
    <w:p w14:paraId="2FC1B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/>
          <w:u w:val="single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 河源市农业农村局办公室           2025年11月6日印发</w:t>
      </w:r>
    </w:p>
    <w:p w14:paraId="26BD3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（共印3份）</w:t>
      </w:r>
    </w:p>
    <w:sectPr>
      <w:pgSz w:w="11905" w:h="16838"/>
      <w:pgMar w:top="1701" w:right="1474" w:bottom="1474" w:left="1587" w:header="0" w:footer="969" w:gutter="0"/>
      <w:cols w:space="0" w:num="1"/>
      <w:rtlGutter w:val="0"/>
      <w:docGrid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2C70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73019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73019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HorizontalSpacing w:val="320"/>
  <w:drawingGridVerticalSpacing w:val="999999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B25078"/>
    <w:rsid w:val="02C24AC1"/>
    <w:rsid w:val="031B1708"/>
    <w:rsid w:val="036F7D2F"/>
    <w:rsid w:val="04996EC7"/>
    <w:rsid w:val="059E0924"/>
    <w:rsid w:val="05CC4D6B"/>
    <w:rsid w:val="068A5B3C"/>
    <w:rsid w:val="06AC0501"/>
    <w:rsid w:val="08D64604"/>
    <w:rsid w:val="08F24C43"/>
    <w:rsid w:val="099223F2"/>
    <w:rsid w:val="09A017D8"/>
    <w:rsid w:val="09C4486D"/>
    <w:rsid w:val="09E50C48"/>
    <w:rsid w:val="0A0168F7"/>
    <w:rsid w:val="0A3F5A6D"/>
    <w:rsid w:val="0E3A5411"/>
    <w:rsid w:val="0E411532"/>
    <w:rsid w:val="0FC22C67"/>
    <w:rsid w:val="102F109D"/>
    <w:rsid w:val="10E80E57"/>
    <w:rsid w:val="11132CE9"/>
    <w:rsid w:val="12E214F6"/>
    <w:rsid w:val="139D6B02"/>
    <w:rsid w:val="144C6C81"/>
    <w:rsid w:val="14E16E52"/>
    <w:rsid w:val="15CB2D95"/>
    <w:rsid w:val="15D20959"/>
    <w:rsid w:val="16027CCE"/>
    <w:rsid w:val="165079B1"/>
    <w:rsid w:val="167A58EE"/>
    <w:rsid w:val="17DE292C"/>
    <w:rsid w:val="17F025E5"/>
    <w:rsid w:val="17FD777C"/>
    <w:rsid w:val="190975CB"/>
    <w:rsid w:val="192F165F"/>
    <w:rsid w:val="1A44443F"/>
    <w:rsid w:val="1AA640E6"/>
    <w:rsid w:val="1CC424C0"/>
    <w:rsid w:val="1D537F7C"/>
    <w:rsid w:val="1DE831A8"/>
    <w:rsid w:val="1EA66E7F"/>
    <w:rsid w:val="1EB12291"/>
    <w:rsid w:val="1EDC3C29"/>
    <w:rsid w:val="1FCE7BB2"/>
    <w:rsid w:val="207F2647"/>
    <w:rsid w:val="223E251B"/>
    <w:rsid w:val="226F51FD"/>
    <w:rsid w:val="229121BE"/>
    <w:rsid w:val="22921CC7"/>
    <w:rsid w:val="22BD36A7"/>
    <w:rsid w:val="238F6FAE"/>
    <w:rsid w:val="240609F9"/>
    <w:rsid w:val="241C3CB4"/>
    <w:rsid w:val="251C315C"/>
    <w:rsid w:val="255B68D6"/>
    <w:rsid w:val="26035DEB"/>
    <w:rsid w:val="263A0DBE"/>
    <w:rsid w:val="26BE4E4D"/>
    <w:rsid w:val="28706D19"/>
    <w:rsid w:val="28714668"/>
    <w:rsid w:val="287B382F"/>
    <w:rsid w:val="28F61D69"/>
    <w:rsid w:val="295D104C"/>
    <w:rsid w:val="29A00E89"/>
    <w:rsid w:val="2BBD6E1E"/>
    <w:rsid w:val="2BE1588C"/>
    <w:rsid w:val="2C1B476C"/>
    <w:rsid w:val="2C5E076B"/>
    <w:rsid w:val="2ECA65D4"/>
    <w:rsid w:val="2F082609"/>
    <w:rsid w:val="2FDB1DFB"/>
    <w:rsid w:val="307A78A5"/>
    <w:rsid w:val="32A86C95"/>
    <w:rsid w:val="338C24A3"/>
    <w:rsid w:val="34995A5A"/>
    <w:rsid w:val="354074ED"/>
    <w:rsid w:val="361529C8"/>
    <w:rsid w:val="3636014B"/>
    <w:rsid w:val="372D5A13"/>
    <w:rsid w:val="38615E10"/>
    <w:rsid w:val="38C764D9"/>
    <w:rsid w:val="3904068B"/>
    <w:rsid w:val="39E437AF"/>
    <w:rsid w:val="3A0F6DD0"/>
    <w:rsid w:val="3BFFDBBB"/>
    <w:rsid w:val="3C071109"/>
    <w:rsid w:val="3D5726A7"/>
    <w:rsid w:val="3D733BDF"/>
    <w:rsid w:val="3E1F3CF7"/>
    <w:rsid w:val="3EF16F4A"/>
    <w:rsid w:val="3EF37337"/>
    <w:rsid w:val="3FF70046"/>
    <w:rsid w:val="402A1DE6"/>
    <w:rsid w:val="403F6C60"/>
    <w:rsid w:val="40F94425"/>
    <w:rsid w:val="41126768"/>
    <w:rsid w:val="42A930FC"/>
    <w:rsid w:val="439E377F"/>
    <w:rsid w:val="44C6279F"/>
    <w:rsid w:val="45F75D1F"/>
    <w:rsid w:val="461A53C6"/>
    <w:rsid w:val="461C1430"/>
    <w:rsid w:val="475E7434"/>
    <w:rsid w:val="47975F91"/>
    <w:rsid w:val="47B10A97"/>
    <w:rsid w:val="47F14F82"/>
    <w:rsid w:val="49307120"/>
    <w:rsid w:val="495C6ECB"/>
    <w:rsid w:val="49CB1E26"/>
    <w:rsid w:val="49F8312B"/>
    <w:rsid w:val="4C090EC8"/>
    <w:rsid w:val="4C182B41"/>
    <w:rsid w:val="4D463256"/>
    <w:rsid w:val="4DF86C11"/>
    <w:rsid w:val="4F1F788E"/>
    <w:rsid w:val="4F207EAE"/>
    <w:rsid w:val="500A17DF"/>
    <w:rsid w:val="51074E5C"/>
    <w:rsid w:val="51766F21"/>
    <w:rsid w:val="522B0886"/>
    <w:rsid w:val="52DF2202"/>
    <w:rsid w:val="52E9517A"/>
    <w:rsid w:val="52EB4CD8"/>
    <w:rsid w:val="54331091"/>
    <w:rsid w:val="550E6492"/>
    <w:rsid w:val="55DF4A13"/>
    <w:rsid w:val="57C379B4"/>
    <w:rsid w:val="57EB45D2"/>
    <w:rsid w:val="59CC2C9B"/>
    <w:rsid w:val="5C400E83"/>
    <w:rsid w:val="5D6D7DD8"/>
    <w:rsid w:val="5DFBC68F"/>
    <w:rsid w:val="5F4B0263"/>
    <w:rsid w:val="5F5B1CB9"/>
    <w:rsid w:val="5F775C2F"/>
    <w:rsid w:val="5F956BAD"/>
    <w:rsid w:val="5F9F50E9"/>
    <w:rsid w:val="5FA805FC"/>
    <w:rsid w:val="5FAA3C47"/>
    <w:rsid w:val="5FD22191"/>
    <w:rsid w:val="5FE35920"/>
    <w:rsid w:val="62344338"/>
    <w:rsid w:val="62E22147"/>
    <w:rsid w:val="642C0AA4"/>
    <w:rsid w:val="64B7454D"/>
    <w:rsid w:val="64CC4B91"/>
    <w:rsid w:val="64EF46A6"/>
    <w:rsid w:val="6523167D"/>
    <w:rsid w:val="6670131F"/>
    <w:rsid w:val="67B25078"/>
    <w:rsid w:val="681333F2"/>
    <w:rsid w:val="692A3D9F"/>
    <w:rsid w:val="69C12364"/>
    <w:rsid w:val="69C20088"/>
    <w:rsid w:val="6A35034B"/>
    <w:rsid w:val="6AF643FD"/>
    <w:rsid w:val="6B1B5FBA"/>
    <w:rsid w:val="6B8425F1"/>
    <w:rsid w:val="6BB82392"/>
    <w:rsid w:val="6BD70DED"/>
    <w:rsid w:val="6BF77538"/>
    <w:rsid w:val="6C2E1E2A"/>
    <w:rsid w:val="6C369F44"/>
    <w:rsid w:val="6C783074"/>
    <w:rsid w:val="6CC10EBE"/>
    <w:rsid w:val="6CE72ECE"/>
    <w:rsid w:val="6D796B7B"/>
    <w:rsid w:val="6D8B4F45"/>
    <w:rsid w:val="6EC95FB4"/>
    <w:rsid w:val="6EFF5117"/>
    <w:rsid w:val="6F526E4A"/>
    <w:rsid w:val="6F6B4DA0"/>
    <w:rsid w:val="6FC34129"/>
    <w:rsid w:val="6FFBDBF6"/>
    <w:rsid w:val="711710AD"/>
    <w:rsid w:val="713118C3"/>
    <w:rsid w:val="725A7FBE"/>
    <w:rsid w:val="730162BB"/>
    <w:rsid w:val="7329073B"/>
    <w:rsid w:val="7332762C"/>
    <w:rsid w:val="73C13823"/>
    <w:rsid w:val="73EF3661"/>
    <w:rsid w:val="747D53D1"/>
    <w:rsid w:val="76656AA0"/>
    <w:rsid w:val="76AE24B4"/>
    <w:rsid w:val="773A405A"/>
    <w:rsid w:val="7779F1CD"/>
    <w:rsid w:val="786B381F"/>
    <w:rsid w:val="78883343"/>
    <w:rsid w:val="79246A5D"/>
    <w:rsid w:val="798903E5"/>
    <w:rsid w:val="79923E00"/>
    <w:rsid w:val="79FD5E3B"/>
    <w:rsid w:val="79FE6149"/>
    <w:rsid w:val="7A1B3440"/>
    <w:rsid w:val="7A2C0DF2"/>
    <w:rsid w:val="7AF4A338"/>
    <w:rsid w:val="7AFF4558"/>
    <w:rsid w:val="7B1E408D"/>
    <w:rsid w:val="7BB7032A"/>
    <w:rsid w:val="7CCD2A68"/>
    <w:rsid w:val="7CD515B4"/>
    <w:rsid w:val="7DE652B4"/>
    <w:rsid w:val="7DE82555"/>
    <w:rsid w:val="7E34331A"/>
    <w:rsid w:val="7ED16AF4"/>
    <w:rsid w:val="7FD821BA"/>
    <w:rsid w:val="7FDFEBD9"/>
    <w:rsid w:val="7FFE8CBB"/>
    <w:rsid w:val="9FAF2C08"/>
    <w:rsid w:val="ABED5FB1"/>
    <w:rsid w:val="B5E3C0D0"/>
    <w:rsid w:val="BD250486"/>
    <w:rsid w:val="BF7D6C26"/>
    <w:rsid w:val="BFBEDBD1"/>
    <w:rsid w:val="D67A90CC"/>
    <w:rsid w:val="E97F9990"/>
    <w:rsid w:val="EEFE1788"/>
    <w:rsid w:val="F5F3C547"/>
    <w:rsid w:val="F6FBF01C"/>
    <w:rsid w:val="F7749AA7"/>
    <w:rsid w:val="F7FB0A18"/>
    <w:rsid w:val="FAFFC32E"/>
    <w:rsid w:val="FDFECD02"/>
    <w:rsid w:val="FEFF0FF0"/>
    <w:rsid w:val="FFBFC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Calibri" w:hAnsi="Calibri" w:eastAsia="方正小标宋简体" w:cs="方正仿宋_GBK"/>
      <w:kern w:val="44"/>
      <w:sz w:val="40"/>
      <w:szCs w:val="4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方正黑体_GBK" w:cs="方正仿宋_GBK"/>
      <w:sz w:val="32"/>
      <w:szCs w:val="40"/>
    </w:rPr>
  </w:style>
  <w:style w:type="paragraph" w:styleId="4">
    <w:name w:val="heading 3"/>
    <w:basedOn w:val="1"/>
    <w:next w:val="1"/>
    <w:link w:val="18"/>
    <w:unhideWhenUsed/>
    <w:qFormat/>
    <w:uiPriority w:val="0"/>
    <w:pPr>
      <w:keepNext/>
      <w:keepLines/>
      <w:widowControl w:val="0"/>
      <w:spacing w:beforeLines="0" w:beforeAutospacing="0" w:afterLines="0" w:afterAutospacing="0" w:line="560" w:lineRule="exact"/>
      <w:jc w:val="both"/>
      <w:outlineLvl w:val="2"/>
    </w:pPr>
    <w:rPr>
      <w:rFonts w:ascii="Times New Roman" w:hAnsi="Times New Roman" w:eastAsia="方正楷体_GBK" w:cs="方正仿宋_GBK"/>
      <w:szCs w:val="40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afterLines="0" w:afterAutospacing="0" w:line="560" w:lineRule="exact"/>
    </w:pPr>
    <w:rPr>
      <w:rFonts w:ascii="Times New Roman" w:hAnsi="Times New Roman" w:eastAsia="方正仿宋_GBK" w:cs="Times New Roman"/>
      <w:sz w:val="32"/>
    </w:rPr>
  </w:style>
  <w:style w:type="paragraph" w:styleId="7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1">
    <w:name w:val="Body Text 2"/>
    <w:basedOn w:val="1"/>
    <w:qFormat/>
    <w:uiPriority w:val="0"/>
    <w:pPr>
      <w:widowControl/>
      <w:spacing w:line="560" w:lineRule="exact"/>
      <w:jc w:val="left"/>
    </w:pPr>
    <w:rPr>
      <w:rFonts w:ascii="Calibri" w:hAnsi="Calibri" w:eastAsia="方正仿宋_GBK" w:cs="Times New Roman"/>
      <w:kern w:val="0"/>
      <w:sz w:val="32"/>
      <w:szCs w:val="40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footnote reference"/>
    <w:basedOn w:val="15"/>
    <w:qFormat/>
    <w:uiPriority w:val="0"/>
    <w:rPr>
      <w:vertAlign w:val="superscript"/>
    </w:rPr>
  </w:style>
  <w:style w:type="character" w:customStyle="1" w:styleId="18">
    <w:name w:val="标题 3 Char"/>
    <w:link w:val="4"/>
    <w:qFormat/>
    <w:uiPriority w:val="0"/>
    <w:rPr>
      <w:rFonts w:ascii="Times New Roman" w:hAnsi="Times New Roman" w:eastAsia="方正楷体_GBK" w:cs="方正仿宋_GBK"/>
      <w:kern w:val="2"/>
      <w:sz w:val="32"/>
      <w:szCs w:val="40"/>
      <w:lang w:val="en-US" w:eastAsia="zh-CN" w:bidi="ar-SA"/>
    </w:rPr>
  </w:style>
  <w:style w:type="paragraph" w:customStyle="1" w:styleId="19">
    <w:name w:val="Body text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标题 1 Char"/>
    <w:link w:val="2"/>
    <w:qFormat/>
    <w:uiPriority w:val="0"/>
    <w:rPr>
      <w:rFonts w:ascii="Calibri" w:hAnsi="Calibri" w:eastAsia="方正小标宋简体" w:cs="方正仿宋_GBK"/>
      <w:kern w:val="44"/>
      <w:sz w:val="40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河源市农业农村局</Company>
  <Pages>11</Pages>
  <Words>4179</Words>
  <Characters>4301</Characters>
  <Lines>0</Lines>
  <Paragraphs>0</Paragraphs>
  <TotalTime>5</TotalTime>
  <ScaleCrop>false</ScaleCrop>
  <LinksUpToDate>false</LinksUpToDate>
  <CharactersWithSpaces>4423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2025-05-03T18:13:00Z</dcterms:created>
  <dc:creator>阿牛哥</dc:creator>
  <cp:lastModifiedBy>hyxr</cp:lastModifiedBy>
  <cp:lastPrinted>2025-10-21T02:43:00Z</cp:lastPrinted>
  <dcterms:modified xsi:type="dcterms:W3CDTF">2025-11-12T07:51:05Z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FE67819DA224435381C1DE3213679FC3_13</vt:lpwstr>
  </property>
  <property fmtid="{D5CDD505-2E9C-101B-9397-08002B2CF9AE}" pid="4" name="KSOTemplateDocerSaveRecord">
    <vt:lpwstr>eyJoZGlkIjoiOTNlYTMzZjhhNTdmYzY0OGRlOTA1MDM4ZDk4Y2I4ZTEiLCJ1c2VySWQiOiI3MTY4NDI1MDEifQ==</vt:lpwstr>
  </property>
</Properties>
</file>