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4136B">
      <w:pPr>
        <w:wordWrap w:val="0"/>
        <w:jc w:val="right"/>
        <w:rPr>
          <w:rFonts w:hint="eastAsia" w:ascii="仿宋_GB2312"/>
          <w:color w:val="auto"/>
          <w:u w:val="none"/>
        </w:rPr>
      </w:pPr>
      <w:r>
        <w:rPr>
          <w:rFonts w:hint="eastAsia"/>
          <w:color w:val="auto"/>
          <w:u w:val="none"/>
        </w:rPr>
        <mc:AlternateContent>
          <mc:Choice Requires="wpg">
            <w:drawing>
              <wp:anchor distT="0" distB="0" distL="114300" distR="114300" simplePos="0" relativeHeight="251660288" behindDoc="0" locked="0" layoutInCell="1" allowOverlap="1">
                <wp:simplePos x="0" y="0"/>
                <wp:positionH relativeFrom="column">
                  <wp:posOffset>-402590</wp:posOffset>
                </wp:positionH>
                <wp:positionV relativeFrom="paragraph">
                  <wp:posOffset>-208280</wp:posOffset>
                </wp:positionV>
                <wp:extent cx="6615430" cy="9014460"/>
                <wp:effectExtent l="0" t="0" r="0" b="34925"/>
                <wp:wrapNone/>
                <wp:docPr id="4" name="组合 7"/>
                <wp:cNvGraphicFramePr/>
                <a:graphic xmlns:a="http://schemas.openxmlformats.org/drawingml/2006/main">
                  <a:graphicData uri="http://schemas.microsoft.com/office/word/2010/wordprocessingGroup">
                    <wpg:wgp>
                      <wpg:cNvGrpSpPr/>
                      <wpg:grpSpPr>
                        <a:xfrm>
                          <a:off x="0" y="0"/>
                          <a:ext cx="6615430" cy="9014460"/>
                          <a:chOff x="897" y="1219"/>
                          <a:chExt cx="10418" cy="14196"/>
                        </a:xfrm>
                      </wpg:grpSpPr>
                      <wps:wsp>
                        <wps:cNvPr id="1" name="文本框 8"/>
                        <wps:cNvSpPr txBox="1"/>
                        <wps:spPr>
                          <a:xfrm>
                            <a:off x="1171" y="1219"/>
                            <a:ext cx="10144" cy="1520"/>
                          </a:xfrm>
                          <a:prstGeom prst="rect">
                            <a:avLst/>
                          </a:prstGeom>
                          <a:noFill/>
                          <a:ln>
                            <a:noFill/>
                          </a:ln>
                        </wps:spPr>
                        <wps:txbx>
                          <w:txbxContent>
                            <w:p w14:paraId="34C0BB2A">
                              <w:pPr>
                                <w:jc w:val="center"/>
                                <w:rPr>
                                  <w:rFonts w:hint="eastAsia" w:ascii="方正小标宋_GBK" w:hAnsi="方正小标宋_GBK" w:eastAsia="方正小标宋_GBK" w:cs="方正小标宋_GBK"/>
                                  <w:bCs/>
                                  <w:color w:val="FF0000"/>
                                  <w:spacing w:val="108"/>
                                  <w:w w:val="66"/>
                                  <w:sz w:val="96"/>
                                  <w:lang w:eastAsia="zh-CN"/>
                                </w:rPr>
                              </w:pPr>
                              <w:r>
                                <w:rPr>
                                  <w:rFonts w:hint="eastAsia" w:ascii="方正小标宋_GBK" w:hAnsi="方正小标宋_GBK" w:eastAsia="方正小标宋_GBK" w:cs="方正小标宋_GBK"/>
                                  <w:bCs/>
                                  <w:color w:val="FF0000"/>
                                  <w:spacing w:val="108"/>
                                  <w:w w:val="66"/>
                                  <w:sz w:val="96"/>
                                </w:rPr>
                                <w:t>河源市人民政府</w:t>
                              </w:r>
                              <w:r>
                                <w:rPr>
                                  <w:rFonts w:hint="eastAsia" w:ascii="方正小标宋_GBK" w:hAnsi="方正小标宋_GBK" w:eastAsia="方正小标宋_GBK" w:cs="方正小标宋_GBK"/>
                                  <w:bCs/>
                                  <w:color w:val="FF0000"/>
                                  <w:spacing w:val="108"/>
                                  <w:w w:val="66"/>
                                  <w:sz w:val="96"/>
                                  <w:lang w:eastAsia="zh-CN"/>
                                </w:rPr>
                                <w:t>办公室</w:t>
                              </w:r>
                            </w:p>
                            <w:p w14:paraId="707CE4DA">
                              <w:pPr>
                                <w:jc w:val="center"/>
                                <w:rPr>
                                  <w:rFonts w:hint="eastAsia" w:ascii="方正小标宋简体" w:eastAsia="方正小标宋简体"/>
                                  <w:bCs/>
                                  <w:color w:val="FF0000"/>
                                  <w:spacing w:val="108"/>
                                  <w:w w:val="66"/>
                                  <w:sz w:val="96"/>
                                </w:rPr>
                              </w:pPr>
                            </w:p>
                            <w:p w14:paraId="0A7E5F63">
                              <w:pPr>
                                <w:jc w:val="center"/>
                                <w:rPr>
                                  <w:rFonts w:hint="eastAsia" w:ascii="方正小标宋简体" w:eastAsia="方正小标宋简体"/>
                                  <w:bCs/>
                                  <w:color w:val="FF0000"/>
                                  <w:spacing w:val="108"/>
                                  <w:w w:val="66"/>
                                  <w:sz w:val="96"/>
                                </w:rPr>
                              </w:pPr>
                            </w:p>
                            <w:p w14:paraId="757DC814">
                              <w:pPr>
                                <w:jc w:val="center"/>
                                <w:rPr>
                                  <w:rFonts w:ascii="方正小标宋简体" w:eastAsia="方正小标宋简体"/>
                                  <w:spacing w:val="108"/>
                                  <w:w w:val="66"/>
                                </w:rPr>
                              </w:pPr>
                            </w:p>
                          </w:txbxContent>
                        </wps:txbx>
                        <wps:bodyPr upright="1"/>
                      </wps:wsp>
                      <wps:wsp>
                        <wps:cNvPr id="2" name="直线 9"/>
                        <wps:cNvCnPr/>
                        <wps:spPr>
                          <a:xfrm>
                            <a:off x="897" y="3051"/>
                            <a:ext cx="10035" cy="0"/>
                          </a:xfrm>
                          <a:prstGeom prst="line">
                            <a:avLst/>
                          </a:prstGeom>
                          <a:ln w="57150" cap="flat" cmpd="thickThin">
                            <a:solidFill>
                              <a:srgbClr val="FF0000"/>
                            </a:solidFill>
                            <a:prstDash val="solid"/>
                            <a:round/>
                            <a:headEnd type="none" w="med" len="med"/>
                            <a:tailEnd type="none" w="med" len="med"/>
                          </a:ln>
                        </wps:spPr>
                        <wps:bodyPr upright="1"/>
                      </wps:wsp>
                      <wps:wsp>
                        <wps:cNvPr id="3" name="直线 10"/>
                        <wps:cNvCnPr/>
                        <wps:spPr>
                          <a:xfrm>
                            <a:off x="991" y="15415"/>
                            <a:ext cx="10035" cy="0"/>
                          </a:xfrm>
                          <a:prstGeom prst="line">
                            <a:avLst/>
                          </a:prstGeom>
                          <a:ln w="38100" cap="flat" cmpd="thinThick">
                            <a:solidFill>
                              <a:srgbClr val="FF0000"/>
                            </a:solidFill>
                            <a:prstDash val="solid"/>
                            <a:round/>
                            <a:headEnd type="none" w="med" len="med"/>
                            <a:tailEnd type="none" w="med" len="med"/>
                          </a:ln>
                        </wps:spPr>
                        <wps:bodyPr upright="1"/>
                      </wps:wsp>
                    </wpg:wgp>
                  </a:graphicData>
                </a:graphic>
              </wp:anchor>
            </w:drawing>
          </mc:Choice>
          <mc:Fallback>
            <w:pict>
              <v:group id="组合 7" o:spid="_x0000_s1026" o:spt="203" style="position:absolute;left:0pt;margin-left:-31.7pt;margin-top:-16.4pt;height:709.8pt;width:520.9pt;z-index:251660288;mso-width-relative:page;mso-height-relative:page;" coordorigin="897,1219" coordsize="10418,14196" o:gfxdata="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Nt5VWLcAAAA&#10;DAEAAA8AAAAAAAAAAQAgAAAAIgAAAGRycy9kb3ducmV2LnhtbFBLAQIUABQAAAAIAIdO4kDGQaZu&#10;/QIAAKYIAAAOAAAAAAAAAAEAIAAAACsBAABkcnMvZTJvRG9jLnhtbFBLBQYAAAAABgAGAFkBAACa&#10;BgAAAAA=&#10;">
                <o:lock v:ext="edit" aspectratio="f"/>
                <v:shape id="文本框 8" o:spid="_x0000_s1026" o:spt="202" type="#_x0000_t202" style="position:absolute;left:1171;top:1219;height:1520;width:10144;" filled="f" stroked="f" coordsize="21600,21600" o:gfxdata="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avkM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14:paraId="34C0BB2A">
                        <w:pPr>
                          <w:jc w:val="center"/>
                          <w:rPr>
                            <w:rFonts w:hint="eastAsia" w:ascii="方正小标宋_GBK" w:hAnsi="方正小标宋_GBK" w:eastAsia="方正小标宋_GBK" w:cs="方正小标宋_GBK"/>
                            <w:bCs/>
                            <w:color w:val="FF0000"/>
                            <w:spacing w:val="108"/>
                            <w:w w:val="66"/>
                            <w:sz w:val="96"/>
                            <w:lang w:eastAsia="zh-CN"/>
                          </w:rPr>
                        </w:pPr>
                        <w:r>
                          <w:rPr>
                            <w:rFonts w:hint="eastAsia" w:ascii="方正小标宋_GBK" w:hAnsi="方正小标宋_GBK" w:eastAsia="方正小标宋_GBK" w:cs="方正小标宋_GBK"/>
                            <w:bCs/>
                            <w:color w:val="FF0000"/>
                            <w:spacing w:val="108"/>
                            <w:w w:val="66"/>
                            <w:sz w:val="96"/>
                          </w:rPr>
                          <w:t>河源市人民政府</w:t>
                        </w:r>
                        <w:r>
                          <w:rPr>
                            <w:rFonts w:hint="eastAsia" w:ascii="方正小标宋_GBK" w:hAnsi="方正小标宋_GBK" w:eastAsia="方正小标宋_GBK" w:cs="方正小标宋_GBK"/>
                            <w:bCs/>
                            <w:color w:val="FF0000"/>
                            <w:spacing w:val="108"/>
                            <w:w w:val="66"/>
                            <w:sz w:val="96"/>
                            <w:lang w:eastAsia="zh-CN"/>
                          </w:rPr>
                          <w:t>办公室</w:t>
                        </w:r>
                      </w:p>
                      <w:p w14:paraId="707CE4DA">
                        <w:pPr>
                          <w:jc w:val="center"/>
                          <w:rPr>
                            <w:rFonts w:hint="eastAsia" w:ascii="方正小标宋简体" w:eastAsia="方正小标宋简体"/>
                            <w:bCs/>
                            <w:color w:val="FF0000"/>
                            <w:spacing w:val="108"/>
                            <w:w w:val="66"/>
                            <w:sz w:val="96"/>
                          </w:rPr>
                        </w:pPr>
                      </w:p>
                      <w:p w14:paraId="0A7E5F63">
                        <w:pPr>
                          <w:jc w:val="center"/>
                          <w:rPr>
                            <w:rFonts w:hint="eastAsia" w:ascii="方正小标宋简体" w:eastAsia="方正小标宋简体"/>
                            <w:bCs/>
                            <w:color w:val="FF0000"/>
                            <w:spacing w:val="108"/>
                            <w:w w:val="66"/>
                            <w:sz w:val="96"/>
                          </w:rPr>
                        </w:pPr>
                      </w:p>
                      <w:p w14:paraId="757DC814">
                        <w:pPr>
                          <w:jc w:val="center"/>
                          <w:rPr>
                            <w:rFonts w:ascii="方正小标宋简体" w:eastAsia="方正小标宋简体"/>
                            <w:spacing w:val="108"/>
                            <w:w w:val="66"/>
                          </w:rPr>
                        </w:pPr>
                      </w:p>
                    </w:txbxContent>
                  </v:textbox>
                </v:shape>
                <v:line id="直线 9" o:spid="_x0000_s1026" o:spt="20" style="position:absolute;left:897;top:3051;height:0;width:10035;" filled="f" stroked="t" coordsize="21600,21600" o:gfxdata="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U7EIrsAAADa&#10;AAAADwAAAAAAAAABACAAAAAiAAAAZHJzL2Rvd25yZXYueG1sUEsBAhQAFAAAAAgAh07iQDMvBZ47&#10;AAAAOQAAABAAAAAAAAAAAQAgAAAACgEAAGRycy9zaGFwZXhtbC54bWxQSwUGAAAAAAYABgBbAQAA&#10;tAMAAAAA&#10;">
                  <v:fill on="f" focussize="0,0"/>
                  <v:stroke weight="4.5pt" color="#FF0000" linestyle="thickThin" joinstyle="round"/>
                  <v:imagedata o:title=""/>
                  <o:lock v:ext="edit" aspectratio="f"/>
                </v:line>
                <v:line id="直线 10" o:spid="_x0000_s1026" o:spt="20" style="position:absolute;left:991;top:15415;height:0;width:10035;" filled="f" stroked="t" coordsize="21600,21600" o:gfxdata="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NdhiC5AAAA2gAA&#10;AA8AAAAAAAAAAQAgAAAAIgAAAGRycy9kb3ducmV2LnhtbFBLAQIUABQAAAAIAIdO4kAzLwWeOwAA&#10;ADkAAAAQAAAAAAAAAAEAIAAAAAgBAABkcnMvc2hhcGV4bWwueG1sUEsFBgAAAAAGAAYAWwEAALID&#10;AAAAAA==&#10;">
                  <v:fill on="f" focussize="0,0"/>
                  <v:stroke weight="3pt" color="#FF0000" linestyle="thinThick" joinstyle="round"/>
                  <v:imagedata o:title=""/>
                  <o:lock v:ext="edit" aspectratio="f"/>
                </v:line>
              </v:group>
            </w:pict>
          </mc:Fallback>
        </mc:AlternateContent>
      </w:r>
    </w:p>
    <w:p w14:paraId="77C8E81C">
      <w:pPr>
        <w:keepNext w:val="0"/>
        <w:keepLines w:val="0"/>
        <w:pageBreakBefore w:val="0"/>
        <w:widowControl w:val="0"/>
        <w:kinsoku/>
        <w:wordWrap/>
        <w:overflowPunct/>
        <w:topLinePunct w:val="0"/>
        <w:autoSpaceDE/>
        <w:autoSpaceDN/>
        <w:bidi w:val="0"/>
        <w:adjustRightInd/>
        <w:snapToGrid/>
        <w:spacing w:before="303" w:beforeLines="50"/>
        <w:jc w:val="right"/>
        <w:textAlignment w:val="auto"/>
        <w:rPr>
          <w:rFonts w:hint="eastAsia" w:ascii="仿宋_GB2312"/>
          <w:color w:val="auto"/>
          <w:u w:val="none"/>
        </w:rPr>
      </w:pPr>
    </w:p>
    <w:p w14:paraId="41881B36">
      <w:pPr>
        <w:jc w:val="right"/>
        <w:rPr>
          <w:rFonts w:hint="eastAsia" w:ascii="仿宋_GB2312"/>
          <w:color w:val="auto"/>
          <w:u w:val="none"/>
        </w:rPr>
      </w:pPr>
    </w:p>
    <w:p w14:paraId="7AFF64FB">
      <w:pPr>
        <w:keepNext w:val="0"/>
        <w:keepLines w:val="0"/>
        <w:pageBreakBefore w:val="0"/>
        <w:widowControl w:val="0"/>
        <w:kinsoku/>
        <w:topLinePunct w:val="0"/>
        <w:autoSpaceDE/>
        <w:autoSpaceDN/>
        <w:bidi w:val="0"/>
        <w:adjustRightInd/>
        <w:snapToGrid/>
        <w:spacing w:line="520" w:lineRule="exact"/>
        <w:jc w:val="right"/>
        <w:textAlignment w:val="auto"/>
        <w:rPr>
          <w:rFonts w:hint="eastAsia" w:ascii="仿宋_GB2312"/>
          <w:color w:val="auto"/>
          <w:u w:val="none"/>
        </w:rPr>
      </w:pPr>
      <w:r>
        <w:rPr>
          <w:rFonts w:hint="eastAsia" w:ascii="仿宋_GB2312"/>
          <w:color w:val="auto"/>
          <w:u w:val="none"/>
        </w:rPr>
        <w:t>河府办函〔</w:t>
      </w:r>
      <w:r>
        <w:rPr>
          <w:rFonts w:ascii="仿宋_GB2312"/>
          <w:color w:val="auto"/>
          <w:u w:val="none"/>
        </w:rPr>
        <w:t>20</w:t>
      </w:r>
      <w:r>
        <w:rPr>
          <w:rFonts w:hint="eastAsia" w:ascii="仿宋_GB2312"/>
          <w:color w:val="auto"/>
          <w:u w:val="none"/>
          <w:lang w:val="en-US" w:eastAsia="zh-CN"/>
        </w:rPr>
        <w:t>25</w:t>
      </w:r>
      <w:r>
        <w:rPr>
          <w:rFonts w:hint="eastAsia" w:ascii="仿宋_GB2312"/>
          <w:color w:val="auto"/>
          <w:u w:val="none"/>
        </w:rPr>
        <w:t>〕</w:t>
      </w:r>
      <w:r>
        <w:rPr>
          <w:rFonts w:hint="eastAsia" w:ascii="仿宋_GB2312"/>
          <w:color w:val="auto"/>
          <w:u w:val="none"/>
          <w:lang w:val="en-US" w:eastAsia="zh-CN"/>
        </w:rPr>
        <w:t>70</w:t>
      </w:r>
      <w:r>
        <w:rPr>
          <w:rFonts w:hint="eastAsia" w:ascii="仿宋_GB2312"/>
          <w:color w:val="auto"/>
          <w:u w:val="none"/>
        </w:rPr>
        <w:t>号</w:t>
      </w:r>
    </w:p>
    <w:p w14:paraId="30D9FEE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u w:val="none"/>
        </w:rPr>
      </w:pPr>
    </w:p>
    <w:p w14:paraId="26D198B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河源市人民政府办公室关于印发河源市</w:t>
      </w:r>
    </w:p>
    <w:p w14:paraId="0A44EA6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地震应急预案的通知</w:t>
      </w:r>
    </w:p>
    <w:p w14:paraId="464D0384">
      <w:pPr>
        <w:keepNext w:val="0"/>
        <w:keepLines w:val="0"/>
        <w:pageBreakBefore w:val="0"/>
        <w:widowControl w:val="0"/>
        <w:kinsoku/>
        <w:wordWrap/>
        <w:overflowPunct/>
        <w:topLinePunct w:val="0"/>
        <w:autoSpaceDE/>
        <w:autoSpaceDN/>
        <w:bidi w:val="0"/>
        <w:adjustRightInd/>
        <w:snapToGrid/>
        <w:spacing w:line="600" w:lineRule="exact"/>
        <w:ind w:left="0" w:leftChars="0" w:firstLine="880" w:firstLineChars="200"/>
        <w:jc w:val="center"/>
        <w:textAlignment w:val="auto"/>
        <w:rPr>
          <w:rFonts w:hint="eastAsia" w:ascii="方正小标宋简体" w:hAnsi="方正小标宋简体" w:eastAsia="方正小标宋简体" w:cs="方正小标宋简体"/>
          <w:color w:val="auto"/>
          <w:sz w:val="44"/>
          <w:szCs w:val="44"/>
          <w:u w:val="none"/>
          <w:lang w:val="en-US" w:eastAsia="zh-CN"/>
        </w:rPr>
      </w:pPr>
    </w:p>
    <w:p w14:paraId="6EB436C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_GB2312" w:hAnsi="楷体_GB2312" w:eastAsia="楷体_GB2312" w:cs="楷体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各县（区）人民政府（管委会），市府直属各单位：</w:t>
      </w:r>
    </w:p>
    <w:p w14:paraId="55DF33B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楷体_GB2312" w:hAnsi="楷体_GB2312" w:eastAsia="楷体_GB2312" w:cs="楷体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经市人民政府同意，现将修订后的《河源市地震应急预案》印发给你们，请认真组织实施。执行过程中遇到的问题，请径向市应急管理局反映。</w:t>
      </w:r>
    </w:p>
    <w:p w14:paraId="00DCAA4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楷体_GB2312" w:hAnsi="楷体_GB2312" w:eastAsia="楷体_GB2312" w:cs="楷体_GB2312"/>
          <w:color w:val="auto"/>
          <w:sz w:val="32"/>
          <w:szCs w:val="32"/>
          <w:u w:val="none"/>
          <w:lang w:val="en-US" w:eastAsia="zh-CN"/>
        </w:rPr>
      </w:pPr>
    </w:p>
    <w:p w14:paraId="534C31D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楷体_GB2312" w:hAnsi="楷体_GB2312" w:eastAsia="楷体_GB2312" w:cs="楷体_GB2312"/>
          <w:color w:val="auto"/>
          <w:sz w:val="32"/>
          <w:szCs w:val="32"/>
          <w:u w:val="none"/>
          <w:lang w:val="en-US" w:eastAsia="zh-CN"/>
        </w:rPr>
      </w:pPr>
    </w:p>
    <w:p w14:paraId="19E13C7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楷体_GB2312" w:hAnsi="楷体_GB2312" w:eastAsia="楷体_GB2312" w:cs="楷体_GB2312"/>
          <w:color w:val="auto"/>
          <w:sz w:val="32"/>
          <w:szCs w:val="32"/>
          <w:u w:val="none"/>
          <w:lang w:val="en-US" w:eastAsia="zh-CN"/>
        </w:rPr>
      </w:pPr>
    </w:p>
    <w:p w14:paraId="080CAF7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 xml:space="preserve">                         河源市人民政府办公室</w:t>
      </w:r>
    </w:p>
    <w:p w14:paraId="45C14E5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楷体_GB2312" w:hAnsi="楷体_GB2312" w:eastAsia="楷体_GB2312" w:cs="楷体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 xml:space="preserve">                     2025年9月24日</w:t>
      </w:r>
    </w:p>
    <w:p w14:paraId="44DC03F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p>
    <w:p w14:paraId="18CB57D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p>
    <w:p w14:paraId="1F1E43C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p>
    <w:p w14:paraId="45BB2F5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u w:val="none"/>
          <w:lang w:val="en-US" w:eastAsia="zh-CN"/>
        </w:rPr>
      </w:pPr>
    </w:p>
    <w:p w14:paraId="4D0E8B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p>
    <w:p w14:paraId="2043EE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sectPr>
          <w:headerReference r:id="rId3" w:type="first"/>
          <w:footerReference r:id="rId5" w:type="first"/>
          <w:footerReference r:id="rId4" w:type="default"/>
          <w:pgSz w:w="11906" w:h="16838"/>
          <w:pgMar w:top="1984" w:right="1474" w:bottom="1531" w:left="141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58E43133">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 w:val="0"/>
          <w:bCs w:val="0"/>
          <w:color w:val="auto"/>
          <w:spacing w:val="0"/>
          <w:sz w:val="44"/>
          <w:szCs w:val="22"/>
          <w:u w:val="none"/>
        </w:rPr>
      </w:pPr>
      <w:r>
        <w:rPr>
          <w:rFonts w:hint="eastAsia" w:ascii="方正小标宋简体" w:hAnsi="方正小标宋简体" w:eastAsia="方正小标宋简体" w:cs="方正小标宋简体"/>
          <w:b w:val="0"/>
          <w:bCs w:val="0"/>
          <w:color w:val="auto"/>
          <w:spacing w:val="0"/>
          <w:sz w:val="44"/>
          <w:szCs w:val="22"/>
          <w:u w:val="none"/>
        </w:rPr>
        <w:t>河源市地震应急预案</w:t>
      </w:r>
    </w:p>
    <w:p w14:paraId="215E12F9">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b w:val="0"/>
          <w:bCs w:val="0"/>
          <w:color w:val="auto"/>
          <w:spacing w:val="20"/>
          <w:sz w:val="32"/>
          <w:szCs w:val="32"/>
          <w:u w:val="none"/>
        </w:rPr>
      </w:pPr>
    </w:p>
    <w:p w14:paraId="643CE968">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1 总则</w:t>
      </w:r>
    </w:p>
    <w:p w14:paraId="18E2FF49">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1.1 指导思想</w:t>
      </w:r>
    </w:p>
    <w:p w14:paraId="55DFE63A">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1.2 编制依据</w:t>
      </w:r>
    </w:p>
    <w:p w14:paraId="79E644EB">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1.3 适用范围</w:t>
      </w:r>
    </w:p>
    <w:p w14:paraId="454B0944">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1.4 工作原则</w:t>
      </w:r>
    </w:p>
    <w:p w14:paraId="2E706BC8">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2 组织体系</w:t>
      </w:r>
    </w:p>
    <w:p w14:paraId="4B85789F">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2.1 市抗震救灾专项应急指挥部</w:t>
      </w:r>
    </w:p>
    <w:p w14:paraId="4FCEF8FC">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2.1.1 组成人员</w:t>
      </w:r>
    </w:p>
    <w:p w14:paraId="4DAF6BFF">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2.1.2 主要职责</w:t>
      </w:r>
    </w:p>
    <w:p w14:paraId="2ECA84B4">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2.1.3 专家组</w:t>
      </w:r>
    </w:p>
    <w:p w14:paraId="5D16E401">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2.1.4 工作组</w:t>
      </w:r>
    </w:p>
    <w:p w14:paraId="5F94E69F">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2.2 基层抗震救灾指挥部</w:t>
      </w:r>
    </w:p>
    <w:p w14:paraId="2DCD60F5">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3 运行机制</w:t>
      </w:r>
    </w:p>
    <w:p w14:paraId="39CFA0A1">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3.1 地震监测</w:t>
      </w:r>
    </w:p>
    <w:p w14:paraId="09AB43AE">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3.1.1 监测数据处理</w:t>
      </w:r>
    </w:p>
    <w:p w14:paraId="0E638997">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3.2 应急处置</w:t>
      </w:r>
    </w:p>
    <w:p w14:paraId="27FF4F6E">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3.2.1 应急准备</w:t>
      </w:r>
    </w:p>
    <w:p w14:paraId="114D2B1C">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3.2.2 信息报告</w:t>
      </w:r>
    </w:p>
    <w:p w14:paraId="4AD16AB0">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3.2.3 先期处置</w:t>
      </w:r>
    </w:p>
    <w:p w14:paraId="4C4E1622">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3.2.4 震区监测</w:t>
      </w:r>
    </w:p>
    <w:p w14:paraId="2C63F595">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3.2.5 响应启动</w:t>
      </w:r>
    </w:p>
    <w:p w14:paraId="0A8E88D8">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3.2.6 现场处置</w:t>
      </w:r>
    </w:p>
    <w:p w14:paraId="1C90322F">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3.2.7 社会动员</w:t>
      </w:r>
    </w:p>
    <w:p w14:paraId="70ECFE46">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3.2.8 应急终止</w:t>
      </w:r>
    </w:p>
    <w:p w14:paraId="28111A3F">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3.3 信息发布</w:t>
      </w:r>
    </w:p>
    <w:p w14:paraId="09CE9997">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3.4 恢复重建</w:t>
      </w:r>
    </w:p>
    <w:p w14:paraId="35DB68E8">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3.4.1 制订规划</w:t>
      </w:r>
    </w:p>
    <w:p w14:paraId="334FC176">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3.4.2 征用补偿</w:t>
      </w:r>
    </w:p>
    <w:p w14:paraId="29A915C3">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3.4.3 灾害保险</w:t>
      </w:r>
    </w:p>
    <w:p w14:paraId="60434D6C">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4 应急保障</w:t>
      </w:r>
    </w:p>
    <w:p w14:paraId="40E23B60">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4.1 队伍保障</w:t>
      </w:r>
    </w:p>
    <w:p w14:paraId="657C6815">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4.2 资金保障</w:t>
      </w:r>
    </w:p>
    <w:p w14:paraId="291E4051">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4.3 物资保障</w:t>
      </w:r>
    </w:p>
    <w:p w14:paraId="1F0AF627">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4.4 避险场所保障</w:t>
      </w:r>
    </w:p>
    <w:p w14:paraId="1D5C605E">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4.5 通讯设施保障</w:t>
      </w:r>
    </w:p>
    <w:p w14:paraId="1BD34D78">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5 监督管理</w:t>
      </w:r>
    </w:p>
    <w:p w14:paraId="7088427D">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5.1 预案执行</w:t>
      </w:r>
    </w:p>
    <w:p w14:paraId="0EA1155E">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5.2 预案演练</w:t>
      </w:r>
    </w:p>
    <w:p w14:paraId="279740AB">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5.3 区域合作</w:t>
      </w:r>
    </w:p>
    <w:p w14:paraId="1CDD119E">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5.4 宣教培训</w:t>
      </w:r>
    </w:p>
    <w:p w14:paraId="66663D15">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5.5 责任与奖惩</w:t>
      </w:r>
    </w:p>
    <w:p w14:paraId="69EA8069">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6 附则</w:t>
      </w:r>
    </w:p>
    <w:p w14:paraId="5EA15BF3">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6.1 名词术语</w:t>
      </w:r>
    </w:p>
    <w:p w14:paraId="43018934">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6.2 预案管理</w:t>
      </w:r>
    </w:p>
    <w:p w14:paraId="795E0AAE">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6.3 预案衔接</w:t>
      </w:r>
    </w:p>
    <w:p w14:paraId="0EC92F13">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6.4 预案解释</w:t>
      </w:r>
    </w:p>
    <w:p w14:paraId="2068A3DD">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6.5 预案实施时间</w:t>
      </w:r>
    </w:p>
    <w:p w14:paraId="08FA7460">
      <w:pPr>
        <w:pStyle w:val="6"/>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黑体" w:hAnsi="黑体" w:eastAsia="黑体" w:cs="黑体"/>
          <w:b w:val="0"/>
          <w:bCs w:val="0"/>
          <w:color w:val="auto"/>
          <w:sz w:val="32"/>
          <w:szCs w:val="32"/>
          <w:u w:val="none"/>
          <w:lang w:val="en-US" w:eastAsia="zh-CN"/>
        </w:rPr>
      </w:pPr>
      <w:bookmarkStart w:id="0" w:name="_Toc17197"/>
      <w:bookmarkStart w:id="1" w:name="_Toc16579"/>
      <w:bookmarkStart w:id="2" w:name="_Toc17076"/>
      <w:bookmarkStart w:id="3" w:name="_Toc1385"/>
      <w:bookmarkStart w:id="4" w:name="_Toc11766"/>
      <w:bookmarkStart w:id="5" w:name="_Toc11737"/>
      <w:bookmarkStart w:id="6" w:name="_Toc13501"/>
      <w:bookmarkStart w:id="7" w:name="_Toc24632"/>
      <w:bookmarkStart w:id="8" w:name="_Toc27888"/>
      <w:bookmarkStart w:id="9" w:name="_Toc16682"/>
      <w:bookmarkStart w:id="10" w:name="_Toc2136"/>
      <w:bookmarkStart w:id="11" w:name="_Toc30949"/>
      <w:bookmarkStart w:id="12" w:name="_Toc31077"/>
      <w:bookmarkStart w:id="13" w:name="_Toc4169"/>
      <w:bookmarkStart w:id="14" w:name="_Toc4494"/>
      <w:bookmarkStart w:id="15" w:name="_Toc14390"/>
      <w:bookmarkStart w:id="16" w:name="_Toc25282"/>
      <w:bookmarkStart w:id="17" w:name="_Toc26536"/>
      <w:bookmarkStart w:id="18" w:name="_Toc9376"/>
      <w:bookmarkStart w:id="19" w:name="_Toc30664"/>
      <w:bookmarkStart w:id="20" w:name="_Toc11261"/>
      <w:bookmarkStart w:id="21" w:name="_Toc19504"/>
      <w:bookmarkStart w:id="22" w:name="_Toc19950"/>
      <w:bookmarkStart w:id="23" w:name="_Toc21706"/>
      <w:bookmarkStart w:id="24" w:name="_Toc16542"/>
      <w:bookmarkStart w:id="25" w:name="_Toc32585"/>
      <w:bookmarkStart w:id="26" w:name="_Toc5441"/>
      <w:bookmarkStart w:id="27" w:name="_Toc14800"/>
    </w:p>
    <w:p w14:paraId="0B2D52E8">
      <w:pPr>
        <w:pStyle w:val="6"/>
        <w:keepNext w:val="0"/>
        <w:keepLines w:val="0"/>
        <w:pageBreakBefore w:val="0"/>
        <w:widowControl w:val="0"/>
        <w:kinsoku/>
        <w:wordWrap/>
        <w:overflowPunct/>
        <w:topLinePunct w:val="0"/>
        <w:autoSpaceDE/>
        <w:autoSpaceDN/>
        <w:bidi w:val="0"/>
        <w:adjustRightInd/>
        <w:snapToGrid/>
        <w:spacing w:after="0" w:line="600" w:lineRule="exact"/>
        <w:ind w:firstLine="632" w:firstLineChars="200"/>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1 总则</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E643705">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1"/>
        <w:rPr>
          <w:rFonts w:hint="eastAsia" w:ascii="楷体_GB2312" w:hAnsi="楷体_GB2312" w:eastAsia="楷体_GB2312" w:cs="楷体_GB2312"/>
          <w:b w:val="0"/>
          <w:bCs w:val="0"/>
          <w:color w:val="auto"/>
          <w:sz w:val="32"/>
          <w:szCs w:val="32"/>
          <w:u w:val="none"/>
          <w:lang w:eastAsia="zh-CN"/>
        </w:rPr>
      </w:pPr>
      <w:bookmarkStart w:id="28" w:name="_Hlt113200178"/>
      <w:bookmarkEnd w:id="28"/>
      <w:bookmarkStart w:id="29" w:name="_Hlt113200841"/>
      <w:bookmarkEnd w:id="29"/>
      <w:bookmarkStart w:id="30" w:name="_Toc113330086"/>
      <w:bookmarkStart w:id="31" w:name="_Toc118624200"/>
      <w:bookmarkStart w:id="32" w:name="_Toc113248199"/>
      <w:bookmarkStart w:id="33" w:name="_Toc118624280"/>
      <w:bookmarkStart w:id="34" w:name="_Toc113248075"/>
      <w:bookmarkStart w:id="35" w:name="_Toc113349634"/>
      <w:bookmarkStart w:id="36" w:name="_Toc113201063"/>
      <w:bookmarkStart w:id="37" w:name="_Toc113329664"/>
      <w:bookmarkStart w:id="38" w:name="_Toc113200587"/>
      <w:bookmarkStart w:id="39" w:name="_Toc113201371"/>
      <w:bookmarkStart w:id="40" w:name="_Toc113200385"/>
      <w:bookmarkStart w:id="41" w:name="_Toc20562"/>
      <w:bookmarkStart w:id="42" w:name="_Toc113202614"/>
      <w:bookmarkStart w:id="43" w:name="_Toc113200720"/>
      <w:bookmarkStart w:id="44" w:name="_Toc118624449"/>
      <w:bookmarkStart w:id="45" w:name="_Toc118624369"/>
      <w:bookmarkStart w:id="46" w:name="_Toc113197674"/>
      <w:bookmarkStart w:id="47" w:name="_Toc113329756"/>
      <w:bookmarkStart w:id="48" w:name="_Toc113352109"/>
      <w:bookmarkStart w:id="49" w:name="_Toc23840"/>
      <w:bookmarkStart w:id="50" w:name="_Toc29258"/>
      <w:bookmarkStart w:id="51" w:name="_Toc2845"/>
      <w:bookmarkStart w:id="52" w:name="_Toc19196"/>
      <w:bookmarkStart w:id="53" w:name="_Toc23032"/>
      <w:bookmarkStart w:id="54" w:name="_Toc32199"/>
      <w:bookmarkStart w:id="55" w:name="_Toc8479"/>
      <w:bookmarkStart w:id="56" w:name="_Toc25335"/>
      <w:bookmarkStart w:id="57" w:name="_Toc25160"/>
      <w:bookmarkStart w:id="58" w:name="_Toc28903"/>
      <w:bookmarkStart w:id="59" w:name="_Toc13086"/>
      <w:bookmarkStart w:id="60" w:name="_Toc32448"/>
      <w:bookmarkStart w:id="61" w:name="_Toc14145"/>
      <w:bookmarkStart w:id="62" w:name="_Toc11745"/>
      <w:bookmarkStart w:id="63" w:name="_Toc6974"/>
      <w:bookmarkStart w:id="64" w:name="_Toc7729"/>
      <w:bookmarkStart w:id="65" w:name="_Toc514"/>
      <w:bookmarkStart w:id="66" w:name="_Toc7911"/>
      <w:bookmarkStart w:id="67" w:name="_Toc29399"/>
      <w:bookmarkStart w:id="68" w:name="_Toc28693"/>
      <w:bookmarkStart w:id="69" w:name="_Toc29203"/>
      <w:bookmarkStart w:id="70" w:name="_Toc30227"/>
      <w:bookmarkStart w:id="71" w:name="_Toc21333"/>
      <w:bookmarkStart w:id="72" w:name="_Toc7567"/>
      <w:bookmarkStart w:id="73" w:name="_Toc19313"/>
      <w:bookmarkStart w:id="74" w:name="_Toc18428"/>
      <w:bookmarkStart w:id="75" w:name="_Toc21998"/>
      <w:r>
        <w:rPr>
          <w:rFonts w:hint="eastAsia" w:ascii="楷体_GB2312" w:hAnsi="楷体_GB2312" w:eastAsia="楷体_GB2312" w:cs="楷体_GB2312"/>
          <w:b w:val="0"/>
          <w:bCs w:val="0"/>
          <w:color w:val="auto"/>
          <w:sz w:val="32"/>
          <w:szCs w:val="32"/>
          <w:u w:val="none"/>
        </w:rPr>
        <w:t>1.1</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楷体_GB2312" w:hAnsi="楷体_GB2312" w:eastAsia="楷体_GB2312" w:cs="楷体_GB2312"/>
          <w:b w:val="0"/>
          <w:bCs w:val="0"/>
          <w:color w:val="auto"/>
          <w:sz w:val="32"/>
          <w:szCs w:val="32"/>
          <w:u w:val="none"/>
          <w:lang w:val="en-US" w:eastAsia="zh-CN"/>
        </w:rPr>
        <w:t xml:space="preserve"> </w:t>
      </w:r>
      <w:r>
        <w:rPr>
          <w:rFonts w:hint="eastAsia" w:ascii="楷体_GB2312" w:hAnsi="楷体_GB2312" w:eastAsia="楷体_GB2312" w:cs="楷体_GB2312"/>
          <w:b w:val="0"/>
          <w:bCs w:val="0"/>
          <w:color w:val="auto"/>
          <w:sz w:val="32"/>
          <w:szCs w:val="32"/>
          <w:u w:val="none"/>
          <w:lang w:eastAsia="zh-CN"/>
        </w:rPr>
        <w:t>指导思想</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0CE93998">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1"/>
        <w:rPr>
          <w:rFonts w:hint="eastAsia" w:ascii="仿宋_GB2312" w:hAnsi="仿宋_GB2312" w:eastAsia="仿宋_GB2312" w:cs="仿宋_GB2312"/>
          <w:b w:val="0"/>
          <w:bCs w:val="0"/>
          <w:color w:val="auto"/>
          <w:sz w:val="32"/>
          <w:szCs w:val="32"/>
          <w:u w:val="none"/>
          <w:lang w:val="zh-CN" w:eastAsia="zh-CN" w:bidi="zh-CN"/>
        </w:rPr>
      </w:pPr>
      <w:bookmarkStart w:id="76" w:name="_Toc30731"/>
      <w:bookmarkStart w:id="77" w:name="_Toc25508"/>
      <w:bookmarkStart w:id="78" w:name="_Toc25354"/>
      <w:bookmarkStart w:id="79" w:name="_Toc16044"/>
      <w:bookmarkStart w:id="80" w:name="_Toc12133"/>
      <w:bookmarkStart w:id="81" w:name="_Toc16264"/>
      <w:bookmarkStart w:id="82" w:name="_Toc32099"/>
      <w:bookmarkStart w:id="83" w:name="_Toc8710"/>
      <w:bookmarkStart w:id="84" w:name="_Toc18145"/>
      <w:bookmarkStart w:id="85" w:name="_Toc17912"/>
      <w:bookmarkStart w:id="86" w:name="_Toc32342"/>
      <w:bookmarkStart w:id="87" w:name="_Toc6744"/>
      <w:bookmarkStart w:id="88" w:name="_Toc28279"/>
      <w:bookmarkStart w:id="89" w:name="_Toc10771"/>
      <w:bookmarkStart w:id="90" w:name="_Toc20754"/>
      <w:bookmarkStart w:id="91" w:name="_Toc23405"/>
      <w:bookmarkStart w:id="92" w:name="_Toc1761"/>
      <w:bookmarkStart w:id="93" w:name="_Toc5124"/>
      <w:bookmarkStart w:id="94" w:name="_Toc27966"/>
      <w:bookmarkStart w:id="95" w:name="_Toc5614"/>
      <w:bookmarkStart w:id="96" w:name="_Toc13202"/>
      <w:bookmarkStart w:id="97" w:name="_Toc25736"/>
      <w:bookmarkStart w:id="98" w:name="_Toc28045"/>
      <w:bookmarkStart w:id="99" w:name="_Toc27082"/>
      <w:bookmarkStart w:id="100" w:name="_Toc18628"/>
      <w:bookmarkStart w:id="101" w:name="_Toc12969"/>
      <w:bookmarkStart w:id="102" w:name="_Toc6740"/>
      <w:bookmarkStart w:id="103" w:name="_Toc4767"/>
      <w:r>
        <w:rPr>
          <w:rFonts w:hint="eastAsia" w:ascii="仿宋_GB2312" w:hAnsi="仿宋_GB2312" w:eastAsia="仿宋_GB2312" w:cs="仿宋_GB2312"/>
          <w:b w:val="0"/>
          <w:bCs w:val="0"/>
          <w:color w:val="auto"/>
          <w:sz w:val="32"/>
          <w:szCs w:val="32"/>
          <w:u w:val="none"/>
          <w:lang w:val="zh-CN" w:eastAsia="zh-CN" w:bidi="zh-CN"/>
        </w:rPr>
        <w:t>坚持以习近平新时代中国特色社会主义思想为指导，深入贯彻落实习近平总书记关于防</w:t>
      </w:r>
      <w:r>
        <w:rPr>
          <w:rFonts w:hint="eastAsia" w:ascii="仿宋_GB2312" w:hAnsi="仿宋_GB2312" w:cs="仿宋_GB2312"/>
          <w:b w:val="0"/>
          <w:bCs w:val="0"/>
          <w:color w:val="auto"/>
          <w:sz w:val="32"/>
          <w:szCs w:val="32"/>
          <w:u w:val="none"/>
          <w:lang w:val="zh-CN" w:eastAsia="zh-CN" w:bidi="zh-CN"/>
        </w:rPr>
        <w:t>灾</w:t>
      </w:r>
      <w:r>
        <w:rPr>
          <w:rFonts w:hint="eastAsia" w:ascii="仿宋_GB2312" w:hAnsi="仿宋_GB2312" w:eastAsia="仿宋_GB2312" w:cs="仿宋_GB2312"/>
          <w:b w:val="0"/>
          <w:bCs w:val="0"/>
          <w:color w:val="auto"/>
          <w:sz w:val="32"/>
          <w:szCs w:val="32"/>
          <w:u w:val="none"/>
          <w:lang w:val="zh-CN" w:eastAsia="zh-CN" w:bidi="zh-CN"/>
        </w:rPr>
        <w:t>减灾救灾重要论述，坚持人民至上、生命至上，践行“两个坚持、三个转变”理念，强化底线思维，以“时时放心不下”责任感全面提升抵御地震灾害风险综合防范能力，最大限度减轻地震灾害损失。</w:t>
      </w:r>
    </w:p>
    <w:p w14:paraId="3BA1AE4B">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1"/>
        <w:rPr>
          <w:rFonts w:hint="eastAsia" w:ascii="楷体_GB2312" w:hAnsi="楷体_GB2312" w:eastAsia="楷体_GB2312" w:cs="楷体_GB2312"/>
          <w:b w:val="0"/>
          <w:bCs w:val="0"/>
          <w:color w:val="auto"/>
          <w:sz w:val="32"/>
          <w:szCs w:val="32"/>
          <w:u w:val="none"/>
        </w:rPr>
      </w:pPr>
      <w:r>
        <w:rPr>
          <w:rFonts w:hint="eastAsia" w:ascii="楷体_GB2312" w:hAnsi="楷体_GB2312" w:eastAsia="楷体_GB2312" w:cs="楷体_GB2312"/>
          <w:b w:val="0"/>
          <w:bCs w:val="0"/>
          <w:color w:val="auto"/>
          <w:sz w:val="32"/>
          <w:szCs w:val="32"/>
          <w:u w:val="none"/>
        </w:rPr>
        <w:t>1.2</w:t>
      </w:r>
      <w:r>
        <w:rPr>
          <w:rFonts w:hint="eastAsia" w:ascii="楷体_GB2312" w:hAnsi="楷体_GB2312" w:eastAsia="楷体_GB2312" w:cs="楷体_GB2312"/>
          <w:b w:val="0"/>
          <w:bCs w:val="0"/>
          <w:color w:val="auto"/>
          <w:sz w:val="32"/>
          <w:szCs w:val="32"/>
          <w:u w:val="none"/>
          <w:lang w:val="en-US" w:eastAsia="zh-CN"/>
        </w:rPr>
        <w:t xml:space="preserve"> </w:t>
      </w:r>
      <w:r>
        <w:rPr>
          <w:rFonts w:hint="eastAsia" w:ascii="楷体_GB2312" w:hAnsi="楷体_GB2312" w:eastAsia="楷体_GB2312" w:cs="楷体_GB2312"/>
          <w:b w:val="0"/>
          <w:bCs w:val="0"/>
          <w:color w:val="auto"/>
          <w:sz w:val="32"/>
          <w:szCs w:val="32"/>
          <w:u w:val="none"/>
          <w:lang w:eastAsia="zh-CN"/>
        </w:rPr>
        <w:t>编制依据</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4F235E4B">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zh-CN" w:eastAsia="zh-CN" w:bidi="ar"/>
        </w:rPr>
      </w:pPr>
      <w:r>
        <w:rPr>
          <w:rFonts w:hint="eastAsia" w:ascii="仿宋_GB2312" w:hAnsi="仿宋_GB2312" w:eastAsia="仿宋_GB2312" w:cs="仿宋_GB2312"/>
          <w:color w:val="auto"/>
          <w:kern w:val="0"/>
          <w:sz w:val="32"/>
          <w:szCs w:val="32"/>
          <w:u w:val="none"/>
          <w:lang w:val="en-US" w:eastAsia="zh-CN" w:bidi="ar"/>
        </w:rPr>
        <w:t>依据</w:t>
      </w:r>
      <w:r>
        <w:rPr>
          <w:rFonts w:hint="eastAsia" w:ascii="仿宋_GB2312" w:hAnsi="仿宋_GB2312" w:eastAsia="仿宋_GB2312" w:cs="仿宋_GB2312"/>
          <w:color w:val="auto"/>
          <w:kern w:val="0"/>
          <w:sz w:val="32"/>
          <w:szCs w:val="32"/>
          <w:u w:val="none"/>
          <w:lang w:val="zh-CN" w:eastAsia="zh-CN" w:bidi="ar"/>
        </w:rPr>
        <w:t>《中华人民共和国突发事件应对法》《中华人民共和国防震减灾法》《破坏性地震应急条例》《广东省突发事件应对条例》《广东省防震减灾条例》《突发事件应急预案管理办法》《地震和地质灾害人员搜救管理与组织办法（试行）》《国家地震应急预案》《广东省突发事件总体应急预案》《广东省地震应急预案》《河源市突发事件总体应急预案》等有关规定，结合实际，制定本预案。</w:t>
      </w:r>
    </w:p>
    <w:p w14:paraId="3A2C765A">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1"/>
        <w:rPr>
          <w:rFonts w:hint="eastAsia" w:ascii="楷体_GB2312" w:hAnsi="楷体_GB2312" w:eastAsia="楷体_GB2312" w:cs="楷体_GB2312"/>
          <w:b w:val="0"/>
          <w:bCs w:val="0"/>
          <w:color w:val="auto"/>
          <w:sz w:val="32"/>
          <w:szCs w:val="32"/>
          <w:u w:val="none"/>
          <w:lang w:val="en-US" w:eastAsia="zh-CN"/>
        </w:rPr>
      </w:pPr>
      <w:bookmarkStart w:id="104" w:name="_Toc5081"/>
      <w:bookmarkStart w:id="105" w:name="_Toc7620"/>
      <w:bookmarkStart w:id="106" w:name="_Toc1796"/>
      <w:bookmarkStart w:id="107" w:name="_Toc18950"/>
      <w:bookmarkStart w:id="108" w:name="_Toc15261"/>
      <w:bookmarkStart w:id="109" w:name="_Toc10638"/>
      <w:bookmarkStart w:id="110" w:name="_Toc12380"/>
      <w:bookmarkStart w:id="111" w:name="_Toc25733"/>
      <w:bookmarkStart w:id="112" w:name="_Toc1291"/>
      <w:bookmarkStart w:id="113" w:name="_Toc17159"/>
      <w:bookmarkStart w:id="114" w:name="_Toc2138"/>
      <w:bookmarkStart w:id="115" w:name="_Toc24253"/>
      <w:bookmarkStart w:id="116" w:name="_Toc19602"/>
      <w:bookmarkStart w:id="117" w:name="_Toc25950"/>
      <w:bookmarkStart w:id="118" w:name="_Toc1017"/>
      <w:bookmarkStart w:id="119" w:name="_Toc15897"/>
      <w:bookmarkStart w:id="120" w:name="_Toc4309"/>
      <w:bookmarkStart w:id="121" w:name="_Toc22824"/>
      <w:bookmarkStart w:id="122" w:name="_Toc5461"/>
      <w:bookmarkStart w:id="123" w:name="_Toc14897"/>
      <w:bookmarkStart w:id="124" w:name="_Toc24932"/>
      <w:bookmarkStart w:id="125" w:name="_Toc3842"/>
      <w:bookmarkStart w:id="126" w:name="_Toc27746"/>
      <w:bookmarkStart w:id="127" w:name="_Toc17231"/>
      <w:bookmarkStart w:id="128" w:name="_Toc21203"/>
      <w:bookmarkStart w:id="129" w:name="_Toc19774"/>
      <w:bookmarkStart w:id="130" w:name="_Toc16286"/>
      <w:r>
        <w:rPr>
          <w:rFonts w:hint="eastAsia" w:ascii="楷体_GB2312" w:hAnsi="楷体_GB2312" w:eastAsia="楷体_GB2312" w:cs="楷体_GB2312"/>
          <w:b w:val="0"/>
          <w:bCs w:val="0"/>
          <w:color w:val="auto"/>
          <w:sz w:val="32"/>
          <w:szCs w:val="32"/>
          <w:u w:val="none"/>
        </w:rPr>
        <w:t>1.3</w:t>
      </w:r>
      <w:r>
        <w:rPr>
          <w:rFonts w:hint="eastAsia" w:ascii="楷体_GB2312" w:hAnsi="楷体_GB2312" w:eastAsia="楷体_GB2312" w:cs="楷体_GB2312"/>
          <w:b w:val="0"/>
          <w:bCs w:val="0"/>
          <w:color w:val="auto"/>
          <w:sz w:val="32"/>
          <w:szCs w:val="32"/>
          <w:u w:val="none"/>
          <w:lang w:val="en-US" w:eastAsia="zh-CN"/>
        </w:rPr>
        <w:t xml:space="preserve"> </w:t>
      </w:r>
      <w:r>
        <w:rPr>
          <w:rFonts w:hint="eastAsia" w:ascii="楷体_GB2312" w:hAnsi="楷体_GB2312" w:eastAsia="楷体_GB2312" w:cs="楷体_GB2312"/>
          <w:b w:val="0"/>
          <w:bCs w:val="0"/>
          <w:color w:val="auto"/>
          <w:sz w:val="32"/>
          <w:szCs w:val="32"/>
          <w:u w:val="none"/>
          <w:lang w:eastAsia="zh-CN"/>
        </w:rPr>
        <w:t>适用范围</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6F0539CC">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本预案适用于河源市行政区域内发生的地震灾害，及相邻市发生的对我市造成较大影响的地震灾害。</w:t>
      </w:r>
    </w:p>
    <w:p w14:paraId="12C342A2">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1"/>
        <w:rPr>
          <w:rFonts w:hint="eastAsia" w:ascii="楷体_GB2312" w:hAnsi="楷体_GB2312" w:eastAsia="楷体_GB2312" w:cs="楷体_GB2312"/>
          <w:b w:val="0"/>
          <w:bCs w:val="0"/>
          <w:color w:val="auto"/>
          <w:sz w:val="32"/>
          <w:szCs w:val="32"/>
          <w:u w:val="none"/>
          <w:lang w:val="en-US" w:eastAsia="zh-CN"/>
        </w:rPr>
      </w:pPr>
      <w:bookmarkStart w:id="131" w:name="_Toc3323"/>
      <w:bookmarkStart w:id="132" w:name="_Toc781"/>
      <w:bookmarkStart w:id="133" w:name="_Toc1545"/>
      <w:bookmarkStart w:id="134" w:name="_Toc24335"/>
      <w:bookmarkStart w:id="135" w:name="_Toc14221"/>
      <w:bookmarkStart w:id="136" w:name="_Toc3295"/>
      <w:bookmarkStart w:id="137" w:name="_Toc29195"/>
      <w:bookmarkStart w:id="138" w:name="_Toc12805"/>
      <w:bookmarkStart w:id="139" w:name="_Toc7533"/>
      <w:bookmarkStart w:id="140" w:name="_Toc6877"/>
      <w:bookmarkStart w:id="141" w:name="_Toc22500"/>
      <w:bookmarkStart w:id="142" w:name="_Toc28387"/>
      <w:bookmarkStart w:id="143" w:name="_Toc30710"/>
      <w:bookmarkStart w:id="144" w:name="_Toc10166"/>
      <w:bookmarkStart w:id="145" w:name="_Toc24846"/>
      <w:bookmarkStart w:id="146" w:name="_Toc3274"/>
      <w:bookmarkStart w:id="147" w:name="_Toc19079"/>
      <w:bookmarkStart w:id="148" w:name="_Toc20241"/>
      <w:bookmarkStart w:id="149" w:name="_Toc29009"/>
      <w:bookmarkStart w:id="150" w:name="_Toc26185"/>
      <w:bookmarkStart w:id="151" w:name="_Toc31623"/>
      <w:bookmarkStart w:id="152" w:name="_Toc28746"/>
      <w:bookmarkStart w:id="153" w:name="_Toc4505"/>
      <w:bookmarkStart w:id="154" w:name="_Toc13538"/>
      <w:bookmarkStart w:id="155" w:name="_Toc25030"/>
      <w:bookmarkStart w:id="156" w:name="_Toc20078"/>
      <w:r>
        <w:rPr>
          <w:rFonts w:hint="eastAsia" w:ascii="楷体_GB2312" w:hAnsi="楷体_GB2312" w:eastAsia="楷体_GB2312" w:cs="楷体_GB2312"/>
          <w:b w:val="0"/>
          <w:bCs w:val="0"/>
          <w:color w:val="auto"/>
          <w:sz w:val="32"/>
          <w:szCs w:val="32"/>
          <w:u w:val="none"/>
          <w:lang w:val="en-US" w:eastAsia="zh-CN"/>
        </w:rPr>
        <w:t>1.4 工作原则</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7972772A">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u w:val="none"/>
          <w:lang w:val="zh-CN" w:eastAsia="zh-CN"/>
        </w:rPr>
      </w:pPr>
      <w:bookmarkStart w:id="157" w:name="_Toc10426"/>
      <w:bookmarkStart w:id="158" w:name="_Toc21224"/>
      <w:bookmarkStart w:id="159" w:name="_Toc2409"/>
      <w:bookmarkStart w:id="160" w:name="_Toc25675"/>
      <w:bookmarkStart w:id="161" w:name="_Toc12557"/>
      <w:bookmarkStart w:id="162" w:name="_Toc11310"/>
      <w:bookmarkStart w:id="163" w:name="_Toc21148"/>
      <w:bookmarkStart w:id="164" w:name="_Toc25996"/>
      <w:bookmarkStart w:id="165" w:name="_Toc15028"/>
      <w:bookmarkStart w:id="166" w:name="_Toc17722"/>
      <w:bookmarkStart w:id="167" w:name="_Toc20158"/>
      <w:bookmarkStart w:id="168" w:name="_Toc21995"/>
      <w:bookmarkStart w:id="169" w:name="_Toc23933"/>
      <w:bookmarkStart w:id="170" w:name="_Toc415"/>
      <w:bookmarkStart w:id="171" w:name="_Toc5480"/>
      <w:bookmarkStart w:id="172" w:name="_Toc10630"/>
      <w:bookmarkStart w:id="173" w:name="_Toc19330"/>
      <w:bookmarkStart w:id="174" w:name="_Toc28070"/>
      <w:bookmarkStart w:id="175" w:name="_Toc11386"/>
      <w:bookmarkStart w:id="176" w:name="_Toc7739"/>
      <w:bookmarkStart w:id="177" w:name="_Toc5871"/>
      <w:bookmarkStart w:id="178" w:name="_Toc31838"/>
      <w:bookmarkStart w:id="179" w:name="_Toc3167"/>
      <w:bookmarkStart w:id="180" w:name="_Toc29759"/>
      <w:bookmarkStart w:id="181" w:name="_Toc446"/>
      <w:bookmarkStart w:id="182" w:name="_Toc2321"/>
      <w:r>
        <w:rPr>
          <w:rFonts w:hint="eastAsia" w:ascii="仿宋_GB2312" w:hAnsi="仿宋_GB2312" w:eastAsia="仿宋_GB2312" w:cs="仿宋_GB2312"/>
          <w:color w:val="auto"/>
          <w:u w:val="none"/>
          <w:lang w:val="zh-CN" w:eastAsia="zh-CN"/>
        </w:rPr>
        <w:t>（</w:t>
      </w:r>
      <w:r>
        <w:rPr>
          <w:rFonts w:hint="eastAsia" w:ascii="仿宋_GB2312" w:hAnsi="仿宋_GB2312" w:eastAsia="仿宋_GB2312" w:cs="仿宋_GB2312"/>
          <w:color w:val="auto"/>
          <w:u w:val="none"/>
          <w:lang w:val="en-US" w:eastAsia="zh-CN"/>
        </w:rPr>
        <w:t>1）</w:t>
      </w:r>
      <w:r>
        <w:rPr>
          <w:rFonts w:hint="eastAsia" w:ascii="仿宋_GB2312" w:hAnsi="仿宋_GB2312" w:eastAsia="仿宋_GB2312" w:cs="仿宋_GB2312"/>
          <w:color w:val="auto"/>
          <w:u w:val="none"/>
          <w:lang w:val="zh-CN" w:eastAsia="zh-CN"/>
        </w:rPr>
        <w:t>统一领导，分级负责。在市委、市政府的统一领导下，建立健全属地为主、分级管理、统分结合、上下联动的地震应急体制。</w:t>
      </w:r>
      <w:r>
        <w:rPr>
          <w:rFonts w:hint="eastAsia" w:ascii="仿宋_GB2312" w:hAnsi="仿宋_GB2312" w:eastAsia="仿宋_GB2312" w:cs="仿宋_GB2312"/>
          <w:color w:val="auto"/>
          <w:kern w:val="0"/>
          <w:sz w:val="32"/>
          <w:szCs w:val="32"/>
          <w:u w:val="none"/>
          <w:lang w:val="en-US" w:eastAsia="zh-CN" w:bidi="ar"/>
        </w:rPr>
        <w:t>市人民政府是应对较大地震灾害的主体，县（区）人民政府（管委会）是应对一般地震灾害的主体。</w:t>
      </w:r>
    </w:p>
    <w:p w14:paraId="0EF82931">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u w:val="none"/>
          <w:lang w:val="zh-CN" w:eastAsia="zh-CN"/>
        </w:rPr>
      </w:pPr>
      <w:r>
        <w:rPr>
          <w:rFonts w:hint="eastAsia" w:ascii="仿宋_GB2312" w:hAnsi="仿宋_GB2312" w:eastAsia="仿宋_GB2312" w:cs="仿宋_GB2312"/>
          <w:color w:val="auto"/>
          <w:u w:val="none"/>
          <w:lang w:val="en-US" w:eastAsia="zh-CN"/>
        </w:rPr>
        <w:t>（2）</w:t>
      </w:r>
      <w:r>
        <w:rPr>
          <w:rFonts w:hint="eastAsia" w:ascii="仿宋_GB2312" w:hAnsi="仿宋_GB2312" w:eastAsia="仿宋_GB2312" w:cs="仿宋_GB2312"/>
          <w:color w:val="auto"/>
          <w:u w:val="none"/>
          <w:lang w:val="zh-CN" w:eastAsia="zh-CN"/>
        </w:rPr>
        <w:t>资源整合，协同联动。加强市、县（区）之间，部门之间的协同联动，充分发挥行业部门和各类抢险救援队伍的专业优势，推进应急资源整合和信息共享。</w:t>
      </w:r>
    </w:p>
    <w:p w14:paraId="756A5F3D">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u w:val="none"/>
          <w:lang w:val="zh-CN" w:eastAsia="zh-CN"/>
        </w:rPr>
      </w:pPr>
      <w:r>
        <w:rPr>
          <w:rFonts w:hint="eastAsia" w:ascii="仿宋_GB2312" w:hAnsi="仿宋_GB2312" w:eastAsia="仿宋_GB2312" w:cs="仿宋_GB2312"/>
          <w:color w:val="auto"/>
          <w:u w:val="none"/>
          <w:lang w:val="zh-CN" w:eastAsia="zh-CN"/>
        </w:rPr>
        <w:t>（</w:t>
      </w:r>
      <w:r>
        <w:rPr>
          <w:rFonts w:hint="eastAsia" w:ascii="仿宋_GB2312" w:hAnsi="仿宋_GB2312" w:eastAsia="仿宋_GB2312" w:cs="仿宋_GB2312"/>
          <w:color w:val="auto"/>
          <w:u w:val="none"/>
          <w:lang w:val="en-US" w:eastAsia="zh-CN"/>
        </w:rPr>
        <w:t>3）</w:t>
      </w:r>
      <w:r>
        <w:rPr>
          <w:rFonts w:hint="eastAsia" w:ascii="仿宋_GB2312" w:hAnsi="仿宋_GB2312" w:eastAsia="仿宋_GB2312" w:cs="仿宋_GB2312"/>
          <w:color w:val="auto"/>
          <w:u w:val="none"/>
          <w:lang w:val="zh-CN" w:eastAsia="zh-CN"/>
        </w:rPr>
        <w:t>依靠科技，提高能力。充分发挥人才、科技在地震监测预报、灾害评估、应急指挥等的支撑作用，努力提高地震应急科学化、专业化水平。</w:t>
      </w:r>
    </w:p>
    <w:p w14:paraId="0DC5F732">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u w:val="none"/>
          <w:lang w:val="zh-CN" w:eastAsia="zh-CN"/>
        </w:rPr>
      </w:pPr>
      <w:r>
        <w:rPr>
          <w:rFonts w:hint="eastAsia" w:ascii="仿宋_GB2312" w:hAnsi="仿宋_GB2312" w:eastAsia="仿宋_GB2312" w:cs="仿宋_GB2312"/>
          <w:color w:val="auto"/>
          <w:u w:val="none"/>
          <w:lang w:val="zh-CN" w:eastAsia="zh-CN"/>
        </w:rPr>
        <w:t>（</w:t>
      </w:r>
      <w:r>
        <w:rPr>
          <w:rFonts w:hint="eastAsia" w:ascii="仿宋_GB2312" w:hAnsi="仿宋_GB2312" w:eastAsia="仿宋_GB2312" w:cs="仿宋_GB2312"/>
          <w:color w:val="auto"/>
          <w:u w:val="none"/>
          <w:lang w:val="en-US" w:eastAsia="zh-CN"/>
        </w:rPr>
        <w:t>4）</w:t>
      </w:r>
      <w:r>
        <w:rPr>
          <w:rFonts w:hint="eastAsia" w:ascii="仿宋_GB2312" w:hAnsi="仿宋_GB2312" w:eastAsia="仿宋_GB2312" w:cs="仿宋_GB2312"/>
          <w:color w:val="auto"/>
          <w:u w:val="none"/>
          <w:lang w:val="zh-CN" w:eastAsia="zh-CN"/>
        </w:rPr>
        <w:t>快速反应，果断处置</w:t>
      </w:r>
      <w:r>
        <w:rPr>
          <w:rFonts w:hint="eastAsia" w:ascii="仿宋_GB2312" w:hAnsi="仿宋_GB2312" w:eastAsia="仿宋_GB2312" w:cs="仿宋_GB2312"/>
          <w:color w:val="auto"/>
          <w:u w:val="none"/>
          <w:lang w:val="en-US" w:eastAsia="zh-CN"/>
        </w:rPr>
        <w:t>。</w:t>
      </w:r>
      <w:r>
        <w:rPr>
          <w:rFonts w:hint="eastAsia" w:ascii="仿宋_GB2312" w:hAnsi="仿宋_GB2312" w:eastAsia="仿宋_GB2312" w:cs="仿宋_GB2312"/>
          <w:color w:val="auto"/>
          <w:u w:val="none"/>
          <w:lang w:val="zh-CN" w:eastAsia="zh-CN"/>
        </w:rPr>
        <w:t>建立健全快速高效的地震应急响应机制，确保一旦发生地震，第一时间</w:t>
      </w:r>
      <w:r>
        <w:rPr>
          <w:rFonts w:hint="eastAsia" w:ascii="仿宋_GB2312" w:hAnsi="仿宋_GB2312" w:cs="仿宋_GB2312"/>
          <w:color w:val="auto"/>
          <w:u w:val="none"/>
          <w:lang w:val="zh-CN" w:eastAsia="zh-CN"/>
        </w:rPr>
        <w:t>作</w:t>
      </w:r>
      <w:r>
        <w:rPr>
          <w:rFonts w:hint="eastAsia" w:ascii="仿宋_GB2312" w:hAnsi="仿宋_GB2312" w:eastAsia="仿宋_GB2312" w:cs="仿宋_GB2312"/>
          <w:color w:val="auto"/>
          <w:u w:val="none"/>
          <w:lang w:val="zh-CN" w:eastAsia="zh-CN"/>
        </w:rPr>
        <w:t>出反应，科学决策，果断处置，最大限度减少灾害损失。</w:t>
      </w:r>
    </w:p>
    <w:p w14:paraId="1C1E99FD">
      <w:pPr>
        <w:pStyle w:val="6"/>
        <w:keepNext w:val="0"/>
        <w:keepLines w:val="0"/>
        <w:pageBreakBefore w:val="0"/>
        <w:widowControl w:val="0"/>
        <w:kinsoku/>
        <w:wordWrap/>
        <w:overflowPunct/>
        <w:topLinePunct w:val="0"/>
        <w:autoSpaceDE/>
        <w:autoSpaceDN/>
        <w:bidi w:val="0"/>
        <w:adjustRightInd/>
        <w:snapToGrid/>
        <w:spacing w:after="0" w:line="600" w:lineRule="exact"/>
        <w:ind w:firstLine="632" w:firstLineChars="200"/>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2 组织体系</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4B9F03A5">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1"/>
        <w:rPr>
          <w:rFonts w:hint="eastAsia" w:ascii="楷体_GB2312" w:hAnsi="楷体_GB2312" w:eastAsia="楷体_GB2312" w:cs="楷体_GB2312"/>
          <w:b w:val="0"/>
          <w:bCs w:val="0"/>
          <w:color w:val="auto"/>
          <w:sz w:val="32"/>
          <w:szCs w:val="32"/>
          <w:u w:val="none"/>
          <w:lang w:eastAsia="zh-CN"/>
        </w:rPr>
      </w:pPr>
      <w:bookmarkStart w:id="183" w:name="_Toc9741"/>
      <w:bookmarkStart w:id="184" w:name="_Toc749"/>
      <w:bookmarkStart w:id="185" w:name="_Toc19533"/>
      <w:bookmarkStart w:id="186" w:name="_Toc10299"/>
      <w:bookmarkStart w:id="187" w:name="_Toc9934"/>
      <w:bookmarkStart w:id="188" w:name="_Toc26252"/>
      <w:bookmarkStart w:id="189" w:name="_Toc28721"/>
      <w:bookmarkStart w:id="190" w:name="_Toc534"/>
      <w:bookmarkStart w:id="191" w:name="_Toc14214"/>
      <w:bookmarkStart w:id="192" w:name="_Toc19192"/>
      <w:bookmarkStart w:id="193" w:name="_Toc12"/>
      <w:bookmarkStart w:id="194" w:name="_Toc30204"/>
      <w:bookmarkStart w:id="195" w:name="_Toc30985"/>
      <w:bookmarkStart w:id="196" w:name="_Toc32674"/>
      <w:bookmarkStart w:id="197" w:name="_Toc8735"/>
      <w:bookmarkStart w:id="198" w:name="_Toc21486"/>
      <w:bookmarkStart w:id="199" w:name="_Toc7557"/>
      <w:bookmarkStart w:id="200" w:name="_Toc17459"/>
      <w:bookmarkStart w:id="201" w:name="_Toc18166"/>
      <w:bookmarkStart w:id="202" w:name="_Toc550"/>
      <w:bookmarkStart w:id="203" w:name="_Toc16425"/>
      <w:bookmarkStart w:id="204" w:name="_Toc23053"/>
      <w:bookmarkStart w:id="205" w:name="_Toc17935"/>
      <w:bookmarkStart w:id="206" w:name="_Toc31458"/>
      <w:bookmarkStart w:id="207" w:name="_Toc4764"/>
      <w:bookmarkStart w:id="208" w:name="_Toc15428"/>
      <w:bookmarkStart w:id="209" w:name="_Toc18765"/>
      <w:bookmarkStart w:id="210" w:name="_Toc1420"/>
      <w:r>
        <w:rPr>
          <w:rFonts w:hint="eastAsia" w:ascii="楷体_GB2312" w:hAnsi="楷体_GB2312" w:eastAsia="楷体_GB2312" w:cs="楷体_GB2312"/>
          <w:b w:val="0"/>
          <w:bCs w:val="0"/>
          <w:color w:val="auto"/>
          <w:sz w:val="32"/>
          <w:szCs w:val="32"/>
          <w:u w:val="none"/>
          <w:lang w:eastAsia="zh-CN"/>
        </w:rPr>
        <w:t>2.1</w:t>
      </w:r>
      <w:r>
        <w:rPr>
          <w:rFonts w:hint="eastAsia" w:ascii="楷体_GB2312" w:hAnsi="楷体_GB2312" w:eastAsia="楷体_GB2312" w:cs="楷体_GB2312"/>
          <w:b w:val="0"/>
          <w:bCs w:val="0"/>
          <w:color w:val="auto"/>
          <w:sz w:val="32"/>
          <w:szCs w:val="32"/>
          <w:u w:val="none"/>
          <w:lang w:val="en-US" w:eastAsia="zh-CN"/>
        </w:rPr>
        <w:t xml:space="preserve"> </w:t>
      </w:r>
      <w:r>
        <w:rPr>
          <w:rFonts w:hint="eastAsia" w:ascii="楷体_GB2312" w:hAnsi="楷体_GB2312" w:eastAsia="楷体_GB2312" w:cs="楷体_GB2312"/>
          <w:b w:val="0"/>
          <w:bCs w:val="0"/>
          <w:color w:val="auto"/>
          <w:sz w:val="32"/>
          <w:szCs w:val="32"/>
          <w:u w:val="none"/>
          <w:lang w:eastAsia="zh-CN"/>
        </w:rPr>
        <w:t>市抗震救灾专项应急指挥部</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Start w:id="211" w:name="_Toc11679"/>
      <w:bookmarkStart w:id="212" w:name="_Toc11953"/>
      <w:bookmarkStart w:id="213" w:name="_Toc26930"/>
      <w:bookmarkStart w:id="214" w:name="_Toc8892"/>
      <w:bookmarkStart w:id="215" w:name="_Toc2386"/>
      <w:bookmarkStart w:id="216" w:name="_Toc18701"/>
      <w:bookmarkStart w:id="217" w:name="_Toc7427"/>
      <w:bookmarkStart w:id="218" w:name="_Toc15861"/>
      <w:bookmarkStart w:id="219" w:name="_Toc505"/>
      <w:bookmarkStart w:id="220" w:name="_Toc2684"/>
      <w:bookmarkStart w:id="221" w:name="_Toc182"/>
      <w:bookmarkStart w:id="222" w:name="_Toc2463"/>
      <w:bookmarkStart w:id="223" w:name="_Toc14903"/>
      <w:bookmarkStart w:id="224" w:name="_Toc16957"/>
      <w:bookmarkStart w:id="225" w:name="_Toc14311"/>
      <w:bookmarkStart w:id="226" w:name="_Toc595"/>
      <w:bookmarkStart w:id="227" w:name="_Toc8388"/>
      <w:bookmarkStart w:id="228" w:name="_Toc9127"/>
      <w:bookmarkStart w:id="229" w:name="_Toc1285"/>
      <w:bookmarkStart w:id="230" w:name="_Toc15517"/>
      <w:bookmarkStart w:id="231" w:name="_Toc17493"/>
      <w:bookmarkStart w:id="232" w:name="_Toc19471"/>
      <w:bookmarkStart w:id="233" w:name="_Toc25292"/>
      <w:bookmarkStart w:id="234" w:name="_Toc2243"/>
      <w:bookmarkStart w:id="235" w:name="_Toc7130"/>
      <w:bookmarkStart w:id="236" w:name="_Toc2049"/>
      <w:bookmarkStart w:id="237" w:name="_Toc2481"/>
    </w:p>
    <w:p w14:paraId="73D95E5A">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2.1.1 组成人员</w:t>
      </w:r>
    </w:p>
    <w:p w14:paraId="79BB0B1F">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总指挥：市长</w:t>
      </w:r>
    </w:p>
    <w:p w14:paraId="4F692A1C">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常务副总指挥：分管副市长</w:t>
      </w:r>
    </w:p>
    <w:p w14:paraId="34D0394F">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副总指挥：市人民政府协调应急管理工作的副秘书长，市应急管理局局长，河源军分区战备建设处处长，武警河源支队支队长，市消防救援支队支队长。</w:t>
      </w:r>
    </w:p>
    <w:p w14:paraId="4BEE1EA3">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成员：市委宣传部、市发展改革局、市教育局、市工业和信息化局、市公安局、市民政局、市财政局、市人力资源社会保障局、市自然资源局、市生态环境局、市住房城乡建设局、市交通运输局、市水务局、市农业农村局、市商务局、市文化广电旅游体育局、市卫生健康局、市应急管理局、市国资委、市市场监管局、市城管综合执法局、市公路事务中心、市红十字会、</w:t>
      </w:r>
      <w:r>
        <w:rPr>
          <w:rFonts w:hint="eastAsia" w:ascii="仿宋_GB2312" w:hAnsi="仿宋_GB2312" w:cs="仿宋_GB2312"/>
          <w:color w:val="auto"/>
          <w:kern w:val="0"/>
          <w:sz w:val="32"/>
          <w:szCs w:val="32"/>
          <w:u w:val="none"/>
          <w:lang w:val="en-US" w:eastAsia="zh-CN" w:bidi="ar"/>
        </w:rPr>
        <w:t>河源金融监管分局</w:t>
      </w:r>
      <w:r>
        <w:rPr>
          <w:rFonts w:hint="eastAsia" w:ascii="仿宋_GB2312" w:hAnsi="仿宋_GB2312" w:eastAsia="仿宋_GB2312" w:cs="仿宋_GB2312"/>
          <w:color w:val="auto"/>
          <w:kern w:val="0"/>
          <w:sz w:val="32"/>
          <w:szCs w:val="32"/>
          <w:u w:val="none"/>
          <w:lang w:val="en-US" w:eastAsia="zh-CN" w:bidi="ar"/>
        </w:rPr>
        <w:t>、河源供电局、河源军分区战备建设处、武警河源支队、市消防救援支队、市气象局、河源海事局、新丰江地震监测中心站、</w:t>
      </w:r>
      <w:r>
        <w:rPr>
          <w:rFonts w:hint="eastAsia" w:ascii="仿宋_GB2312" w:hAnsi="仿宋_GB2312" w:cs="仿宋_GB2312"/>
          <w:color w:val="auto"/>
          <w:kern w:val="0"/>
          <w:sz w:val="32"/>
          <w:szCs w:val="32"/>
          <w:u w:val="none"/>
          <w:lang w:val="en-US" w:eastAsia="zh-CN" w:bidi="ar"/>
        </w:rPr>
        <w:t>电信河源市分公司</w:t>
      </w:r>
      <w:r>
        <w:rPr>
          <w:rFonts w:hint="eastAsia" w:ascii="仿宋_GB2312" w:hAnsi="仿宋_GB2312" w:eastAsia="仿宋_GB2312" w:cs="仿宋_GB2312"/>
          <w:color w:val="auto"/>
          <w:kern w:val="0"/>
          <w:sz w:val="32"/>
          <w:szCs w:val="32"/>
          <w:u w:val="none"/>
          <w:lang w:val="en-US" w:eastAsia="zh-CN" w:bidi="ar"/>
        </w:rPr>
        <w:t>、联通河源分公司、移动河源分公司、粤电新丰江发电公司、河源地质调查中心、铁塔公司等主要负责人。</w:t>
      </w:r>
    </w:p>
    <w:p w14:paraId="714E0728">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市抗震救灾专项应急指挥部（以下简称</w:t>
      </w:r>
      <w:r>
        <w:rPr>
          <w:rFonts w:hint="eastAsia" w:ascii="仿宋_GB2312" w:hAnsi="仿宋_GB2312" w:eastAsia="仿宋_GB2312" w:cs="仿宋_GB2312"/>
          <w:color w:val="auto"/>
          <w:kern w:val="0"/>
          <w:sz w:val="32"/>
          <w:szCs w:val="32"/>
          <w:u w:val="none"/>
          <w:lang w:val="zh-CN" w:eastAsia="zh-CN" w:bidi="ar"/>
        </w:rPr>
        <w:t>市抗震救灾指挥部）</w:t>
      </w:r>
      <w:r>
        <w:rPr>
          <w:rFonts w:hint="eastAsia" w:ascii="仿宋_GB2312" w:hAnsi="仿宋_GB2312" w:eastAsia="仿宋_GB2312" w:cs="仿宋_GB2312"/>
          <w:color w:val="auto"/>
          <w:kern w:val="0"/>
          <w:sz w:val="32"/>
          <w:szCs w:val="32"/>
          <w:u w:val="none"/>
          <w:lang w:val="en-US" w:eastAsia="zh-CN" w:bidi="ar"/>
        </w:rPr>
        <w:t>领导、指挥和协调全市抗震救灾工作。</w:t>
      </w:r>
    </w:p>
    <w:p w14:paraId="7EAC48BA">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zh-CN" w:eastAsia="zh-CN" w:bidi="ar"/>
        </w:rPr>
        <w:t>市抗震救灾指挥部</w:t>
      </w:r>
      <w:r>
        <w:rPr>
          <w:rFonts w:hint="eastAsia" w:ascii="仿宋_GB2312" w:hAnsi="仿宋_GB2312" w:eastAsia="仿宋_GB2312" w:cs="仿宋_GB2312"/>
          <w:color w:val="auto"/>
          <w:kern w:val="0"/>
          <w:sz w:val="32"/>
          <w:szCs w:val="32"/>
          <w:u w:val="none"/>
          <w:lang w:val="en-US" w:eastAsia="zh-CN" w:bidi="ar"/>
        </w:rPr>
        <w:t>办公室设在市应急管理局，承担日常工作。市应急管理局局长兼任办公室主任，市应急管理局分管负责同志、市地震局</w:t>
      </w:r>
      <w:r>
        <w:rPr>
          <w:rFonts w:hint="eastAsia" w:ascii="仿宋_GB2312" w:hAnsi="仿宋_GB2312" w:cs="仿宋_GB2312"/>
          <w:color w:val="auto"/>
          <w:kern w:val="0"/>
          <w:sz w:val="32"/>
          <w:szCs w:val="32"/>
          <w:u w:val="none"/>
          <w:lang w:val="en-US" w:eastAsia="zh-CN" w:bidi="ar"/>
        </w:rPr>
        <w:t>主要</w:t>
      </w:r>
      <w:r>
        <w:rPr>
          <w:rFonts w:hint="eastAsia" w:ascii="仿宋_GB2312" w:hAnsi="仿宋_GB2312" w:eastAsia="仿宋_GB2312" w:cs="仿宋_GB2312"/>
          <w:color w:val="auto"/>
          <w:kern w:val="0"/>
          <w:sz w:val="32"/>
          <w:szCs w:val="32"/>
          <w:u w:val="none"/>
          <w:lang w:val="en-US" w:eastAsia="zh-CN" w:bidi="ar"/>
        </w:rPr>
        <w:t>负责同志任办公室副主任。</w:t>
      </w:r>
    </w:p>
    <w:p w14:paraId="1BDB9B33">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2.1.2 主要职责</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4E3EE06A">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zh-CN" w:eastAsia="zh-CN" w:bidi="ar"/>
        </w:rPr>
        <w:t>市抗震救灾指挥部</w:t>
      </w:r>
      <w:r>
        <w:rPr>
          <w:rFonts w:hint="eastAsia" w:ascii="仿宋_GB2312" w:hAnsi="仿宋_GB2312" w:eastAsia="仿宋_GB2312" w:cs="仿宋_GB2312"/>
          <w:color w:val="auto"/>
          <w:kern w:val="0"/>
          <w:sz w:val="32"/>
          <w:szCs w:val="32"/>
          <w:u w:val="none"/>
          <w:lang w:val="en-US" w:eastAsia="zh-CN" w:bidi="ar"/>
        </w:rPr>
        <w:t>负责指挥、协调全市抗震救灾工作。贯彻落实上级指挥部、上级部门（单位）关于抗震救灾有关决策部署，研究制定全市抗震救灾工作方案；组织开展地震趋势、震情、灾情会商研判，地震灾害调查评估；按要求报请市政府启动地震应急Ⅰ级、Ⅱ级响应，决定启动地震应急Ⅲ、Ⅳ级响应；统一指挥市内地震灾害应急救援，协调军分区、武警和消防救援等力量参与抢险救灾；组织开展地震灾情和救援信息上报，地震舆情应对；协调、指导、监督各成员单位、</w:t>
      </w:r>
      <w:r>
        <w:rPr>
          <w:rFonts w:hint="eastAsia" w:ascii="仿宋_GB2312" w:hAnsi="仿宋_GB2312" w:cs="仿宋_GB2312"/>
          <w:color w:val="auto"/>
          <w:kern w:val="0"/>
          <w:sz w:val="32"/>
          <w:szCs w:val="32"/>
          <w:u w:val="none"/>
          <w:lang w:val="en-US" w:eastAsia="zh-CN" w:bidi="ar"/>
        </w:rPr>
        <w:t>县（区）</w:t>
      </w:r>
      <w:r>
        <w:rPr>
          <w:rFonts w:hint="eastAsia" w:ascii="仿宋_GB2312" w:hAnsi="仿宋_GB2312" w:eastAsia="仿宋_GB2312" w:cs="仿宋_GB2312"/>
          <w:color w:val="auto"/>
          <w:kern w:val="0"/>
          <w:sz w:val="32"/>
          <w:szCs w:val="32"/>
          <w:u w:val="none"/>
          <w:lang w:val="en-US" w:eastAsia="zh-CN" w:bidi="ar"/>
        </w:rPr>
        <w:t>抗震救灾指挥机构开展地震应急救援；指导地震灾区开展生产自救和组织灾后恢复重建等；研究全市抗震救灾其他重大事项。</w:t>
      </w:r>
    </w:p>
    <w:p w14:paraId="514DFEB1">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bookmarkStart w:id="238" w:name="_Toc17187"/>
      <w:bookmarkStart w:id="239" w:name="_Toc8020"/>
      <w:bookmarkStart w:id="240" w:name="_Toc25310"/>
      <w:bookmarkStart w:id="241" w:name="_Toc25907"/>
      <w:bookmarkStart w:id="242" w:name="_Toc14781"/>
      <w:bookmarkStart w:id="243" w:name="_Toc3749"/>
      <w:bookmarkStart w:id="244" w:name="_Toc27928"/>
      <w:bookmarkStart w:id="245" w:name="_Toc20722"/>
      <w:bookmarkStart w:id="246" w:name="_Toc4437"/>
      <w:bookmarkStart w:id="247" w:name="_Toc5810"/>
      <w:bookmarkStart w:id="248" w:name="_Toc19691"/>
      <w:bookmarkStart w:id="249" w:name="_Toc16014"/>
      <w:bookmarkStart w:id="250" w:name="_Toc8093"/>
      <w:bookmarkStart w:id="251" w:name="_Toc25308"/>
      <w:bookmarkStart w:id="252" w:name="_Toc27731"/>
      <w:bookmarkStart w:id="253" w:name="_Toc559"/>
      <w:bookmarkStart w:id="254" w:name="_Toc9460"/>
      <w:bookmarkStart w:id="255" w:name="_Toc32533"/>
      <w:bookmarkStart w:id="256" w:name="_Toc9981"/>
      <w:bookmarkStart w:id="257" w:name="_Toc19855"/>
      <w:bookmarkStart w:id="258" w:name="_Toc20970"/>
      <w:bookmarkStart w:id="259" w:name="_Toc32677"/>
      <w:r>
        <w:rPr>
          <w:rFonts w:hint="eastAsia" w:ascii="仿宋_GB2312" w:hAnsi="仿宋_GB2312" w:eastAsia="仿宋_GB2312" w:cs="仿宋_GB2312"/>
          <w:color w:val="auto"/>
          <w:kern w:val="0"/>
          <w:sz w:val="32"/>
          <w:szCs w:val="32"/>
          <w:u w:val="none"/>
          <w:lang w:val="en-US" w:eastAsia="zh-CN" w:bidi="ar"/>
        </w:rPr>
        <w:t>2.1.3 专家组</w:t>
      </w:r>
    </w:p>
    <w:p w14:paraId="37E52C58">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根据地震灾情险情需要，市抗震救灾指挥部设立专家组，及时开展地震灾情险情评估，分析地震发展趋势，提出抢险救灾建议等，为抗震救灾高效科学决策提供参考。</w:t>
      </w:r>
    </w:p>
    <w:p w14:paraId="04391191">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2.1.4 工作组</w:t>
      </w:r>
    </w:p>
    <w:p w14:paraId="46D6855B">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根据需要，市抗震救灾指挥部设立综合信息组、抢险救援组、群众安置组、灾情监测组、医疗防疫组、社会治安组、基础设施和装备物资保障组、交通运输组、灾害评估组、宣传报道组、恢复重建组（见附件2）。</w:t>
      </w:r>
    </w:p>
    <w:p w14:paraId="32695C94">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1"/>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2.2 基层抗震救灾</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Pr>
          <w:rFonts w:hint="eastAsia" w:ascii="楷体_GB2312" w:hAnsi="楷体_GB2312" w:eastAsia="楷体_GB2312" w:cs="楷体_GB2312"/>
          <w:b w:val="0"/>
          <w:bCs w:val="0"/>
          <w:color w:val="auto"/>
          <w:sz w:val="32"/>
          <w:szCs w:val="32"/>
          <w:u w:val="none"/>
          <w:lang w:val="en-US" w:eastAsia="zh-CN"/>
        </w:rPr>
        <w:t>指挥部</w:t>
      </w:r>
    </w:p>
    <w:p w14:paraId="0BED0B85">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各</w:t>
      </w:r>
      <w:r>
        <w:rPr>
          <w:rFonts w:hint="eastAsia" w:ascii="仿宋_GB2312" w:hAnsi="仿宋_GB2312" w:cs="仿宋_GB2312"/>
          <w:color w:val="auto"/>
          <w:kern w:val="0"/>
          <w:sz w:val="32"/>
          <w:szCs w:val="32"/>
          <w:u w:val="none"/>
          <w:lang w:val="en-US" w:eastAsia="zh-CN" w:bidi="ar"/>
        </w:rPr>
        <w:t>县（区）</w:t>
      </w:r>
      <w:r>
        <w:rPr>
          <w:rFonts w:hint="eastAsia" w:ascii="仿宋_GB2312" w:hAnsi="仿宋_GB2312" w:eastAsia="仿宋_GB2312" w:cs="仿宋_GB2312"/>
          <w:color w:val="auto"/>
          <w:kern w:val="0"/>
          <w:sz w:val="32"/>
          <w:szCs w:val="32"/>
          <w:u w:val="none"/>
          <w:lang w:val="en-US" w:eastAsia="zh-CN" w:bidi="ar"/>
        </w:rPr>
        <w:t>、</w:t>
      </w:r>
      <w:r>
        <w:rPr>
          <w:rFonts w:hint="eastAsia" w:ascii="仿宋_GB2312" w:hAnsi="仿宋_GB2312" w:cs="仿宋_GB2312"/>
          <w:color w:val="auto"/>
          <w:kern w:val="0"/>
          <w:sz w:val="32"/>
          <w:szCs w:val="32"/>
          <w:u w:val="none"/>
          <w:lang w:val="en-US" w:eastAsia="zh-CN" w:bidi="ar"/>
        </w:rPr>
        <w:t>乡镇（街道）</w:t>
      </w:r>
      <w:r>
        <w:rPr>
          <w:rFonts w:hint="eastAsia" w:ascii="仿宋_GB2312" w:hAnsi="仿宋_GB2312" w:eastAsia="仿宋_GB2312" w:cs="仿宋_GB2312"/>
          <w:color w:val="auto"/>
          <w:kern w:val="0"/>
          <w:sz w:val="32"/>
          <w:szCs w:val="32"/>
          <w:u w:val="none"/>
          <w:lang w:val="en-US" w:eastAsia="zh-CN" w:bidi="ar"/>
        </w:rPr>
        <w:t>应分别设立抗震救灾指挥部，负责领导、指挥和协调本辖区的抗震救灾工作。</w:t>
      </w:r>
    </w:p>
    <w:p w14:paraId="112ACB52">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0"/>
        <w:rPr>
          <w:rFonts w:hint="eastAsia" w:ascii="黑体" w:hAnsi="黑体" w:eastAsia="黑体" w:cs="黑体"/>
          <w:b w:val="0"/>
          <w:bCs w:val="0"/>
          <w:color w:val="auto"/>
          <w:sz w:val="32"/>
          <w:szCs w:val="32"/>
          <w:u w:val="none"/>
        </w:rPr>
      </w:pPr>
      <w:bookmarkStart w:id="260" w:name="_Toc13448"/>
      <w:bookmarkStart w:id="261" w:name="_Toc28433"/>
      <w:bookmarkStart w:id="262" w:name="_Toc703"/>
      <w:bookmarkStart w:id="263" w:name="_Toc26538"/>
      <w:bookmarkStart w:id="264" w:name="_Toc9456"/>
      <w:bookmarkStart w:id="265" w:name="_Toc868"/>
      <w:bookmarkStart w:id="266" w:name="_Toc21805"/>
      <w:bookmarkStart w:id="267" w:name="_Toc13848"/>
      <w:bookmarkStart w:id="268" w:name="_Toc28268"/>
      <w:bookmarkStart w:id="269" w:name="_Toc28706"/>
      <w:bookmarkStart w:id="270" w:name="_Toc5711"/>
      <w:bookmarkStart w:id="271" w:name="_Toc10191"/>
      <w:bookmarkStart w:id="272" w:name="_Toc4591"/>
      <w:bookmarkStart w:id="273" w:name="_Toc22251"/>
      <w:bookmarkStart w:id="274" w:name="_Toc31911"/>
      <w:bookmarkStart w:id="275" w:name="_Toc13574"/>
      <w:bookmarkStart w:id="276" w:name="_Toc27212"/>
      <w:bookmarkStart w:id="277" w:name="_Toc22157"/>
      <w:bookmarkStart w:id="278" w:name="_Toc22507"/>
      <w:bookmarkStart w:id="279" w:name="_Toc9932"/>
      <w:bookmarkStart w:id="280" w:name="_Toc22858"/>
      <w:bookmarkStart w:id="281" w:name="_Toc10271"/>
      <w:bookmarkStart w:id="282" w:name="_Toc29677"/>
      <w:bookmarkStart w:id="283" w:name="_Toc5488"/>
      <w:bookmarkStart w:id="284" w:name="_Toc12043"/>
      <w:bookmarkStart w:id="285" w:name="_Toc12024"/>
      <w:bookmarkStart w:id="286" w:name="_Toc22713"/>
      <w:r>
        <w:rPr>
          <w:rFonts w:hint="eastAsia" w:ascii="黑体" w:hAnsi="黑体" w:eastAsia="黑体" w:cs="黑体"/>
          <w:b w:val="0"/>
          <w:bCs w:val="0"/>
          <w:color w:val="auto"/>
          <w:sz w:val="32"/>
          <w:szCs w:val="32"/>
          <w:u w:val="none"/>
        </w:rPr>
        <w:t>3</w:t>
      </w:r>
      <w:r>
        <w:rPr>
          <w:rFonts w:hint="eastAsia" w:ascii="黑体" w:hAnsi="黑体" w:eastAsia="黑体" w:cs="黑体"/>
          <w:b w:val="0"/>
          <w:bCs w:val="0"/>
          <w:color w:val="auto"/>
          <w:sz w:val="32"/>
          <w:szCs w:val="32"/>
          <w:u w:val="none"/>
          <w:lang w:val="en-US" w:eastAsia="zh-CN"/>
        </w:rPr>
        <w:t xml:space="preserve"> </w:t>
      </w:r>
      <w:r>
        <w:rPr>
          <w:rFonts w:hint="eastAsia" w:ascii="黑体" w:hAnsi="黑体" w:eastAsia="黑体" w:cs="黑体"/>
          <w:b w:val="0"/>
          <w:bCs w:val="0"/>
          <w:color w:val="auto"/>
          <w:sz w:val="32"/>
          <w:szCs w:val="32"/>
          <w:u w:val="none"/>
        </w:rPr>
        <w:t>运行机制</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3A0F1F6A">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1"/>
        <w:rPr>
          <w:rFonts w:hint="eastAsia" w:ascii="楷体_GB2312" w:hAnsi="楷体_GB2312" w:eastAsia="楷体_GB2312" w:cs="楷体_GB2312"/>
          <w:b w:val="0"/>
          <w:bCs w:val="0"/>
          <w:color w:val="auto"/>
          <w:sz w:val="32"/>
          <w:szCs w:val="32"/>
          <w:u w:val="none"/>
        </w:rPr>
      </w:pPr>
      <w:bookmarkStart w:id="287" w:name="_Toc23453"/>
      <w:bookmarkStart w:id="288" w:name="_Toc10322"/>
      <w:bookmarkStart w:id="289" w:name="_Toc9084"/>
      <w:bookmarkStart w:id="290" w:name="_Toc29910"/>
      <w:bookmarkStart w:id="291" w:name="_Toc242"/>
      <w:bookmarkStart w:id="292" w:name="_Toc28042"/>
      <w:bookmarkStart w:id="293" w:name="_Toc18513"/>
      <w:bookmarkStart w:id="294" w:name="_Toc4106"/>
      <w:bookmarkStart w:id="295" w:name="_Toc22922"/>
      <w:bookmarkStart w:id="296" w:name="_Toc11994"/>
      <w:bookmarkStart w:id="297" w:name="_Toc10378"/>
      <w:bookmarkStart w:id="298" w:name="_Toc15318"/>
      <w:bookmarkStart w:id="299" w:name="_Toc4484"/>
      <w:bookmarkStart w:id="300" w:name="_Toc9281"/>
      <w:bookmarkStart w:id="301" w:name="_Toc30420"/>
      <w:bookmarkStart w:id="302" w:name="_Toc11362"/>
      <w:bookmarkStart w:id="303" w:name="_Toc2300"/>
      <w:bookmarkStart w:id="304" w:name="_Toc17595"/>
      <w:bookmarkStart w:id="305" w:name="_Toc29966"/>
      <w:bookmarkStart w:id="306" w:name="_Toc32427"/>
      <w:bookmarkStart w:id="307" w:name="_Toc2879"/>
      <w:bookmarkStart w:id="308" w:name="_Toc8361"/>
      <w:bookmarkStart w:id="309" w:name="_Toc25395"/>
      <w:bookmarkStart w:id="310" w:name="_Toc9602"/>
      <w:bookmarkStart w:id="311" w:name="_Toc25946"/>
      <w:bookmarkStart w:id="312" w:name="_Toc19101"/>
      <w:bookmarkStart w:id="313" w:name="_Toc1361"/>
      <w:bookmarkStart w:id="314" w:name="_Toc21749"/>
      <w:r>
        <w:rPr>
          <w:rFonts w:hint="eastAsia" w:ascii="楷体_GB2312" w:hAnsi="楷体_GB2312" w:eastAsia="楷体_GB2312" w:cs="楷体_GB2312"/>
          <w:b w:val="0"/>
          <w:bCs w:val="0"/>
          <w:color w:val="auto"/>
          <w:sz w:val="32"/>
          <w:szCs w:val="32"/>
          <w:u w:val="none"/>
          <w:lang w:eastAsia="zh-CN"/>
        </w:rPr>
        <w:t>3.1</w:t>
      </w:r>
      <w:r>
        <w:rPr>
          <w:rFonts w:hint="eastAsia" w:ascii="楷体_GB2312" w:hAnsi="楷体_GB2312" w:eastAsia="楷体_GB2312" w:cs="楷体_GB2312"/>
          <w:b w:val="0"/>
          <w:bCs w:val="0"/>
          <w:color w:val="auto"/>
          <w:sz w:val="32"/>
          <w:szCs w:val="32"/>
          <w:u w:val="none"/>
          <w:lang w:val="en-US" w:eastAsia="zh-CN"/>
        </w:rPr>
        <w:t xml:space="preserve"> 地震</w:t>
      </w:r>
      <w:r>
        <w:rPr>
          <w:rFonts w:hint="eastAsia" w:ascii="楷体_GB2312" w:hAnsi="楷体_GB2312" w:eastAsia="楷体_GB2312" w:cs="楷体_GB2312"/>
          <w:b w:val="0"/>
          <w:bCs w:val="0"/>
          <w:color w:val="auto"/>
          <w:sz w:val="32"/>
          <w:szCs w:val="32"/>
          <w:u w:val="none"/>
          <w:lang w:eastAsia="zh-CN"/>
        </w:rPr>
        <w:t>监测</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5A661AA7">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bookmarkStart w:id="315" w:name="_Toc30533"/>
      <w:bookmarkStart w:id="316" w:name="_Toc25432"/>
      <w:bookmarkStart w:id="317" w:name="_Toc12334"/>
      <w:bookmarkStart w:id="318" w:name="_Toc22843"/>
      <w:bookmarkStart w:id="319" w:name="_Toc10336"/>
      <w:bookmarkStart w:id="320" w:name="_Toc31518"/>
      <w:bookmarkStart w:id="321" w:name="_Toc5650"/>
      <w:bookmarkStart w:id="322" w:name="_Toc25333"/>
      <w:bookmarkStart w:id="323" w:name="_Toc13701"/>
      <w:bookmarkStart w:id="324" w:name="_Toc3905"/>
      <w:bookmarkStart w:id="325" w:name="_Toc769"/>
      <w:bookmarkStart w:id="326" w:name="_Toc6906"/>
      <w:bookmarkStart w:id="327" w:name="_Toc18621"/>
      <w:bookmarkStart w:id="328" w:name="_Toc15814"/>
      <w:bookmarkStart w:id="329" w:name="_Toc9532"/>
      <w:bookmarkStart w:id="330" w:name="_Toc17572"/>
      <w:bookmarkStart w:id="331" w:name="_Toc29389"/>
      <w:bookmarkStart w:id="332" w:name="_Toc26146"/>
      <w:bookmarkStart w:id="333" w:name="_Toc17858"/>
      <w:bookmarkStart w:id="334" w:name="_Toc21890"/>
      <w:bookmarkStart w:id="335" w:name="_Toc11945"/>
      <w:bookmarkStart w:id="336" w:name="_Toc575"/>
      <w:bookmarkStart w:id="337" w:name="_Toc31488"/>
      <w:r>
        <w:rPr>
          <w:rFonts w:hint="eastAsia" w:ascii="仿宋_GB2312" w:hAnsi="仿宋_GB2312" w:eastAsia="仿宋_GB2312" w:cs="仿宋_GB2312"/>
          <w:color w:val="auto"/>
          <w:kern w:val="0"/>
          <w:sz w:val="32"/>
          <w:szCs w:val="32"/>
          <w:u w:val="none"/>
          <w:lang w:val="en-US" w:eastAsia="zh-CN" w:bidi="ar"/>
        </w:rPr>
        <w:t>3.1.1 监测</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Pr>
          <w:rFonts w:hint="eastAsia" w:ascii="仿宋_GB2312" w:hAnsi="仿宋_GB2312" w:eastAsia="仿宋_GB2312" w:cs="仿宋_GB2312"/>
          <w:color w:val="auto"/>
          <w:kern w:val="0"/>
          <w:sz w:val="32"/>
          <w:szCs w:val="32"/>
          <w:u w:val="none"/>
          <w:lang w:val="en-US" w:eastAsia="zh-CN" w:bidi="ar"/>
        </w:rPr>
        <w:t>数据处理</w:t>
      </w:r>
    </w:p>
    <w:p w14:paraId="0F18BC2A">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新丰江地震监测中心站负责全市地震监测信息的监测、传递、分析、处理、存储和报送；对地震观测信息进行接收、质量监控、存储、常规分析处理，并进行震情跟踪。</w:t>
      </w:r>
    </w:p>
    <w:p w14:paraId="2DC991B7">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1"/>
        <w:rPr>
          <w:rFonts w:hint="eastAsia" w:ascii="楷体_GB2312" w:hAnsi="楷体_GB2312" w:eastAsia="楷体_GB2312" w:cs="楷体_GB2312"/>
          <w:b w:val="0"/>
          <w:bCs w:val="0"/>
          <w:color w:val="auto"/>
          <w:sz w:val="32"/>
          <w:szCs w:val="32"/>
          <w:u w:val="none"/>
          <w:lang w:eastAsia="zh-CN"/>
        </w:rPr>
      </w:pPr>
      <w:bookmarkStart w:id="338" w:name="_Toc753"/>
      <w:bookmarkStart w:id="339" w:name="_Toc31008"/>
      <w:bookmarkStart w:id="340" w:name="_Toc9534"/>
      <w:bookmarkStart w:id="341" w:name="_Toc31188"/>
      <w:bookmarkStart w:id="342" w:name="_Toc25433"/>
      <w:bookmarkStart w:id="343" w:name="_Toc24107"/>
      <w:bookmarkStart w:id="344" w:name="_Toc229"/>
      <w:bookmarkStart w:id="345" w:name="_Toc11127"/>
      <w:bookmarkStart w:id="346" w:name="_Toc12814"/>
      <w:bookmarkStart w:id="347" w:name="_Toc21337"/>
      <w:bookmarkStart w:id="348" w:name="_Toc22938"/>
      <w:bookmarkStart w:id="349" w:name="_Toc6856"/>
      <w:bookmarkStart w:id="350" w:name="_Toc5995"/>
      <w:bookmarkStart w:id="351" w:name="_Toc18817"/>
      <w:bookmarkStart w:id="352" w:name="_Toc16910"/>
      <w:bookmarkStart w:id="353" w:name="_Toc15560"/>
      <w:bookmarkStart w:id="354" w:name="_Toc15029"/>
      <w:bookmarkStart w:id="355" w:name="_Toc7286"/>
      <w:bookmarkStart w:id="356" w:name="_Toc31696"/>
      <w:bookmarkStart w:id="357" w:name="_Toc152"/>
      <w:bookmarkStart w:id="358" w:name="_Toc17160"/>
      <w:bookmarkStart w:id="359" w:name="_Toc26994"/>
      <w:bookmarkStart w:id="360" w:name="_Toc30239"/>
      <w:bookmarkStart w:id="361" w:name="_Toc5460"/>
      <w:bookmarkStart w:id="362" w:name="_Toc24425"/>
      <w:r>
        <w:rPr>
          <w:rFonts w:hint="eastAsia" w:ascii="楷体_GB2312" w:hAnsi="楷体_GB2312" w:eastAsia="楷体_GB2312" w:cs="楷体_GB2312"/>
          <w:b w:val="0"/>
          <w:bCs w:val="0"/>
          <w:color w:val="auto"/>
          <w:sz w:val="32"/>
          <w:szCs w:val="32"/>
          <w:u w:val="none"/>
          <w:lang w:eastAsia="zh-CN"/>
        </w:rPr>
        <w:t>3.2</w:t>
      </w:r>
      <w:r>
        <w:rPr>
          <w:rFonts w:hint="eastAsia" w:ascii="楷体_GB2312" w:hAnsi="楷体_GB2312" w:eastAsia="楷体_GB2312" w:cs="楷体_GB2312"/>
          <w:b w:val="0"/>
          <w:bCs w:val="0"/>
          <w:color w:val="auto"/>
          <w:sz w:val="32"/>
          <w:szCs w:val="32"/>
          <w:u w:val="none"/>
          <w:lang w:val="en-US" w:eastAsia="zh-CN"/>
        </w:rPr>
        <w:t xml:space="preserve"> </w:t>
      </w:r>
      <w:r>
        <w:rPr>
          <w:rFonts w:hint="eastAsia" w:ascii="楷体_GB2312" w:hAnsi="楷体_GB2312" w:eastAsia="楷体_GB2312" w:cs="楷体_GB2312"/>
          <w:b w:val="0"/>
          <w:bCs w:val="0"/>
          <w:color w:val="auto"/>
          <w:sz w:val="32"/>
          <w:szCs w:val="32"/>
          <w:u w:val="none"/>
          <w:lang w:eastAsia="zh-CN"/>
        </w:rPr>
        <w:t>应急处置</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403A22AE">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bookmarkStart w:id="363" w:name="_Toc2846"/>
      <w:bookmarkStart w:id="364" w:name="_Toc13124"/>
      <w:bookmarkStart w:id="365" w:name="_Toc13142"/>
      <w:bookmarkStart w:id="366" w:name="_Toc16997"/>
      <w:bookmarkStart w:id="367" w:name="_Toc5078"/>
      <w:bookmarkStart w:id="368" w:name="_Toc17067"/>
      <w:bookmarkStart w:id="369" w:name="_Toc9889"/>
      <w:bookmarkStart w:id="370" w:name="_Toc28680"/>
      <w:bookmarkStart w:id="371" w:name="_Toc16115"/>
      <w:bookmarkStart w:id="372" w:name="_Toc11933"/>
      <w:bookmarkStart w:id="373" w:name="_Toc2798"/>
      <w:bookmarkStart w:id="374" w:name="_Toc26493"/>
      <w:bookmarkStart w:id="375" w:name="_Toc14084"/>
      <w:bookmarkStart w:id="376" w:name="_Toc27467"/>
      <w:bookmarkStart w:id="377" w:name="_Toc14321"/>
      <w:bookmarkStart w:id="378" w:name="_Toc29804"/>
      <w:bookmarkStart w:id="379" w:name="_Toc13345"/>
      <w:bookmarkStart w:id="380" w:name="_Toc2494"/>
      <w:bookmarkStart w:id="381" w:name="_Toc17869"/>
      <w:bookmarkStart w:id="382" w:name="_Toc10036"/>
      <w:bookmarkStart w:id="383" w:name="_Toc6799"/>
      <w:bookmarkStart w:id="384" w:name="_Toc28890"/>
      <w:bookmarkStart w:id="385" w:name="_Toc30418"/>
      <w:bookmarkStart w:id="386" w:name="_Toc13710"/>
      <w:bookmarkStart w:id="387" w:name="_Toc8818"/>
      <w:bookmarkStart w:id="388" w:name="_Toc21214"/>
      <w:bookmarkStart w:id="389" w:name="_Toc24649"/>
      <w:bookmarkStart w:id="390" w:name="_Toc19008"/>
      <w:bookmarkStart w:id="391" w:name="_Toc22827"/>
      <w:bookmarkStart w:id="392" w:name="_Toc16948"/>
      <w:bookmarkStart w:id="393" w:name="_Toc17946"/>
      <w:bookmarkStart w:id="394" w:name="_Toc4890"/>
      <w:bookmarkStart w:id="395" w:name="_Toc16878"/>
      <w:bookmarkStart w:id="396" w:name="_Toc15872"/>
      <w:bookmarkStart w:id="397" w:name="_Toc25478"/>
      <w:bookmarkStart w:id="398" w:name="_Toc17041"/>
      <w:bookmarkStart w:id="399" w:name="_Toc6936"/>
      <w:bookmarkStart w:id="400" w:name="_Toc25592"/>
      <w:bookmarkStart w:id="401" w:name="_Toc1777"/>
      <w:bookmarkStart w:id="402" w:name="_Toc6687"/>
      <w:bookmarkStart w:id="403" w:name="_Toc4616"/>
      <w:bookmarkStart w:id="404" w:name="_Toc1654"/>
      <w:bookmarkStart w:id="405" w:name="_Toc30995"/>
      <w:bookmarkStart w:id="406" w:name="_Toc8837"/>
      <w:bookmarkStart w:id="407" w:name="_Toc20961"/>
      <w:bookmarkStart w:id="408" w:name="_Toc32518"/>
      <w:r>
        <w:rPr>
          <w:rFonts w:hint="eastAsia" w:ascii="仿宋_GB2312" w:hAnsi="仿宋_GB2312" w:eastAsia="仿宋_GB2312" w:cs="仿宋_GB2312"/>
          <w:color w:val="auto"/>
          <w:kern w:val="0"/>
          <w:sz w:val="32"/>
          <w:szCs w:val="32"/>
          <w:u w:val="none"/>
          <w:lang w:val="en-US" w:eastAsia="zh-CN" w:bidi="ar"/>
        </w:rPr>
        <w:t xml:space="preserve">3.2.1 </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Pr>
          <w:rFonts w:hint="eastAsia" w:ascii="仿宋_GB2312" w:hAnsi="仿宋_GB2312" w:eastAsia="仿宋_GB2312" w:cs="仿宋_GB2312"/>
          <w:color w:val="auto"/>
          <w:kern w:val="0"/>
          <w:sz w:val="32"/>
          <w:szCs w:val="32"/>
          <w:u w:val="none"/>
          <w:lang w:val="en-US" w:eastAsia="zh-CN" w:bidi="ar"/>
        </w:rPr>
        <w:t>应急准备</w:t>
      </w:r>
    </w:p>
    <w:p w14:paraId="43AC6193">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根据地震预报意见，各</w:t>
      </w:r>
      <w:r>
        <w:rPr>
          <w:rFonts w:hint="eastAsia" w:ascii="仿宋_GB2312" w:hAnsi="仿宋_GB2312" w:cs="仿宋_GB2312"/>
          <w:color w:val="auto"/>
          <w:kern w:val="0"/>
          <w:sz w:val="32"/>
          <w:szCs w:val="32"/>
          <w:u w:val="none"/>
          <w:lang w:val="en-US" w:eastAsia="zh-CN" w:bidi="ar"/>
        </w:rPr>
        <w:t>县（区）</w:t>
      </w:r>
      <w:r>
        <w:rPr>
          <w:rFonts w:hint="eastAsia" w:ascii="仿宋_GB2312" w:hAnsi="仿宋_GB2312" w:eastAsia="仿宋_GB2312" w:cs="仿宋_GB2312"/>
          <w:color w:val="auto"/>
          <w:kern w:val="0"/>
          <w:sz w:val="32"/>
          <w:szCs w:val="32"/>
          <w:u w:val="none"/>
          <w:lang w:val="en-US" w:eastAsia="zh-CN" w:bidi="ar"/>
        </w:rPr>
        <w:t>和</w:t>
      </w:r>
      <w:r>
        <w:rPr>
          <w:rFonts w:hint="eastAsia" w:ascii="仿宋_GB2312" w:hAnsi="仿宋_GB2312" w:cs="仿宋_GB2312"/>
          <w:color w:val="auto"/>
          <w:kern w:val="0"/>
          <w:sz w:val="32"/>
          <w:szCs w:val="32"/>
          <w:u w:val="none"/>
          <w:lang w:val="en-US" w:eastAsia="zh-CN" w:bidi="ar"/>
        </w:rPr>
        <w:t>乡镇（街道）</w:t>
      </w:r>
      <w:r>
        <w:rPr>
          <w:rFonts w:hint="eastAsia" w:ascii="仿宋_GB2312" w:hAnsi="仿宋_GB2312" w:eastAsia="仿宋_GB2312" w:cs="仿宋_GB2312"/>
          <w:color w:val="auto"/>
          <w:kern w:val="0"/>
          <w:sz w:val="32"/>
          <w:szCs w:val="32"/>
          <w:u w:val="none"/>
          <w:lang w:val="en-US" w:eastAsia="zh-CN" w:bidi="ar"/>
        </w:rPr>
        <w:t>要积极做好应对地震灾害发生防范准备，主要内容包括：加强震情监视和宏观观测，及时核实了解情况；排查掌握建筑物抗震能力；检修避难场所相关配套设施；开展地震灾害损失预评估；</w:t>
      </w:r>
      <w:r>
        <w:rPr>
          <w:rFonts w:hint="eastAsia" w:ascii="仿宋_GB2312" w:hAnsi="仿宋_GB2312" w:cs="仿宋_GB2312"/>
          <w:color w:val="auto"/>
          <w:kern w:val="0"/>
          <w:sz w:val="32"/>
          <w:szCs w:val="32"/>
          <w:u w:val="none"/>
          <w:lang w:val="en-US" w:eastAsia="zh-CN" w:bidi="ar"/>
        </w:rPr>
        <w:t>加强</w:t>
      </w:r>
      <w:r>
        <w:rPr>
          <w:rFonts w:hint="eastAsia" w:ascii="仿宋_GB2312" w:hAnsi="仿宋_GB2312" w:eastAsia="仿宋_GB2312" w:cs="仿宋_GB2312"/>
          <w:color w:val="auto"/>
          <w:kern w:val="0"/>
          <w:sz w:val="32"/>
          <w:szCs w:val="32"/>
          <w:u w:val="none"/>
          <w:lang w:val="en-US" w:eastAsia="zh-CN" w:bidi="ar"/>
        </w:rPr>
        <w:t>生命线工程和可能发生各类次生灾害风险源</w:t>
      </w:r>
      <w:r>
        <w:rPr>
          <w:rFonts w:hint="eastAsia" w:ascii="仿宋_GB2312" w:hAnsi="仿宋_GB2312" w:cs="仿宋_GB2312"/>
          <w:color w:val="auto"/>
          <w:kern w:val="0"/>
          <w:sz w:val="32"/>
          <w:szCs w:val="32"/>
          <w:u w:val="none"/>
          <w:lang w:val="en-US" w:eastAsia="zh-CN" w:bidi="ar"/>
        </w:rPr>
        <w:t>的</w:t>
      </w:r>
      <w:r>
        <w:rPr>
          <w:rFonts w:hint="eastAsia" w:ascii="仿宋_GB2312" w:hAnsi="仿宋_GB2312" w:eastAsia="仿宋_GB2312" w:cs="仿宋_GB2312"/>
          <w:color w:val="auto"/>
          <w:kern w:val="0"/>
          <w:sz w:val="32"/>
          <w:szCs w:val="32"/>
          <w:u w:val="none"/>
          <w:lang w:val="en-US" w:eastAsia="zh-CN" w:bidi="ar"/>
        </w:rPr>
        <w:t>抗震防护措施；督促检查抢险救灾准备等。</w:t>
      </w:r>
    </w:p>
    <w:p w14:paraId="3E04C65D">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3.2.2 信息报告</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780431C1">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（1）震情报告</w:t>
      </w:r>
    </w:p>
    <w:p w14:paraId="0716C09E">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当市内发生3.0级以上地震，或相邻市发生对我市造成较大影响的地震灾害，市地震局、新丰江地震监测中心站要立即收集震情资料并分析，密切监视，研判地震发展趋势并提出意见，按规定分别报告省应急管理厅、省地震局，市委、市政府。</w:t>
      </w:r>
    </w:p>
    <w:p w14:paraId="2CFFC768">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（2）灾情报告</w:t>
      </w:r>
    </w:p>
    <w:p w14:paraId="4AAECB21">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破坏性地震发生后，灾区所在</w:t>
      </w:r>
      <w:r>
        <w:rPr>
          <w:rFonts w:hint="eastAsia" w:ascii="仿宋_GB2312" w:hAnsi="仿宋_GB2312" w:cs="仿宋_GB2312"/>
          <w:color w:val="auto"/>
          <w:kern w:val="0"/>
          <w:sz w:val="32"/>
          <w:szCs w:val="32"/>
          <w:u w:val="none"/>
          <w:lang w:val="en-US" w:eastAsia="zh-CN" w:bidi="ar"/>
        </w:rPr>
        <w:t>县（区）</w:t>
      </w:r>
      <w:r>
        <w:rPr>
          <w:rFonts w:hint="eastAsia" w:ascii="仿宋_GB2312" w:hAnsi="仿宋_GB2312" w:eastAsia="仿宋_GB2312" w:cs="仿宋_GB2312"/>
          <w:color w:val="auto"/>
          <w:kern w:val="0"/>
          <w:sz w:val="32"/>
          <w:szCs w:val="32"/>
          <w:u w:val="none"/>
          <w:lang w:val="en-US" w:eastAsia="zh-CN" w:bidi="ar"/>
        </w:rPr>
        <w:t>应及时将震情、灾情信息报告上一级人民政府，必要时可越级上报。市抗震救灾指挥部成员单位尤其是宣传、发展改革（能源）、教育、自然资源、生态环境、住房城乡建设、交通运输、水务、</w:t>
      </w:r>
      <w:r>
        <w:rPr>
          <w:rFonts w:hint="eastAsia" w:ascii="仿宋_GB2312" w:hAnsi="仿宋_GB2312" w:cs="仿宋_GB2312"/>
          <w:color w:val="auto"/>
          <w:kern w:val="0"/>
          <w:sz w:val="32"/>
          <w:szCs w:val="32"/>
          <w:u w:val="none"/>
          <w:lang w:val="en-US" w:eastAsia="zh-CN" w:bidi="ar"/>
        </w:rPr>
        <w:t>文化广电旅游体育</w:t>
      </w:r>
      <w:r>
        <w:rPr>
          <w:rFonts w:hint="eastAsia" w:ascii="仿宋_GB2312" w:hAnsi="仿宋_GB2312" w:eastAsia="仿宋_GB2312" w:cs="仿宋_GB2312"/>
          <w:color w:val="auto"/>
          <w:kern w:val="0"/>
          <w:sz w:val="32"/>
          <w:szCs w:val="32"/>
          <w:u w:val="none"/>
          <w:lang w:val="en-US" w:eastAsia="zh-CN" w:bidi="ar"/>
        </w:rPr>
        <w:t>、卫生健康、国资、市场监管、城管综合执法、公路、供电、通讯等部门要将灾情舆情及时报告市抗震救灾指挥部。</w:t>
      </w:r>
    </w:p>
    <w:p w14:paraId="524EC9BD">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地震灾情报告内容主要包括：地震影响范围、人员伤亡、经济损失、次生灾害及社会影响等。</w:t>
      </w:r>
    </w:p>
    <w:p w14:paraId="0B352273">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3.2.3 先期处置</w:t>
      </w:r>
    </w:p>
    <w:p w14:paraId="2F1A874B">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灾区所在抗震救灾指挥机构要先行组织开展抗震救灾，立即发动基层干部群众开展自救互救，组织基层抢险救灾力量开展人员搜救和医疗救助，开放应急避难场所，及时转移、安置受灾群众，防范次生灾害，维护社会治安，开展地震烈度初步调查等。必要时，请求上级援助。</w:t>
      </w:r>
    </w:p>
    <w:p w14:paraId="051BDEB9">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3.2.4 震区监测</w:t>
      </w:r>
    </w:p>
    <w:p w14:paraId="31883634">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根据</w:t>
      </w:r>
      <w:r>
        <w:rPr>
          <w:rFonts w:hint="eastAsia" w:ascii="仿宋_GB2312" w:hAnsi="仿宋_GB2312" w:cs="仿宋_GB2312"/>
          <w:color w:val="auto"/>
          <w:kern w:val="0"/>
          <w:sz w:val="32"/>
          <w:szCs w:val="32"/>
          <w:u w:val="none"/>
          <w:lang w:val="en-US" w:eastAsia="zh-CN" w:bidi="ar"/>
        </w:rPr>
        <w:t>工作</w:t>
      </w:r>
      <w:r>
        <w:rPr>
          <w:rFonts w:hint="eastAsia" w:ascii="仿宋_GB2312" w:hAnsi="仿宋_GB2312" w:eastAsia="仿宋_GB2312" w:cs="仿宋_GB2312"/>
          <w:color w:val="auto"/>
          <w:kern w:val="0"/>
          <w:sz w:val="32"/>
          <w:szCs w:val="32"/>
          <w:u w:val="none"/>
          <w:lang w:val="en-US" w:eastAsia="zh-CN" w:bidi="ar"/>
        </w:rPr>
        <w:t>需要，市应急管理局、新丰江地震监测中心站向震区派出工作人员，现场布设流动监测台网，加密震情监视，开展监测数据分析，通报余震信息。市气象局加强气象监测，密切关注灾区天气变化。市自然资源局组织开展地质灾害监测预警。市水务局组织监测水情、汛情。</w:t>
      </w:r>
      <w:r>
        <w:rPr>
          <w:rFonts w:hint="eastAsia" w:ascii="仿宋_GB2312" w:hAnsi="仿宋_GB2312" w:eastAsia="仿宋_GB2312" w:cs="仿宋_GB2312"/>
          <w:b w:val="0"/>
          <w:bCs w:val="0"/>
          <w:color w:val="auto"/>
          <w:kern w:val="0"/>
          <w:sz w:val="32"/>
          <w:szCs w:val="32"/>
          <w:u w:val="none"/>
          <w:lang w:val="en-US" w:eastAsia="zh-CN" w:bidi="ar"/>
        </w:rPr>
        <w:t>市</w:t>
      </w:r>
      <w:r>
        <w:rPr>
          <w:rFonts w:hint="eastAsia" w:ascii="仿宋_GB2312" w:hAnsi="仿宋_GB2312" w:eastAsia="仿宋_GB2312" w:cs="仿宋_GB2312"/>
          <w:color w:val="auto"/>
          <w:kern w:val="0"/>
          <w:sz w:val="32"/>
          <w:szCs w:val="32"/>
          <w:u w:val="none"/>
          <w:lang w:val="en-US" w:eastAsia="zh-CN" w:bidi="ar"/>
        </w:rPr>
        <w:t>生态环境局组织加强空气、水源、土壤监测。各单位要将监测情况及时报告市抗震救灾指挥部。</w:t>
      </w:r>
    </w:p>
    <w:p w14:paraId="529E1E4F">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bookmarkStart w:id="409" w:name="_Toc7368"/>
      <w:bookmarkStart w:id="410" w:name="_Toc30515"/>
      <w:bookmarkStart w:id="411" w:name="_Toc10467"/>
      <w:bookmarkStart w:id="412" w:name="_Toc2144"/>
      <w:bookmarkStart w:id="413" w:name="_Toc17319"/>
      <w:bookmarkStart w:id="414" w:name="_Toc31829"/>
      <w:bookmarkStart w:id="415" w:name="_Toc12920"/>
      <w:bookmarkStart w:id="416" w:name="_Toc26043"/>
      <w:bookmarkStart w:id="417" w:name="_Toc5284"/>
      <w:bookmarkStart w:id="418" w:name="_Toc24693"/>
      <w:bookmarkStart w:id="419" w:name="_Toc13154"/>
      <w:bookmarkStart w:id="420" w:name="_Toc22961"/>
      <w:bookmarkStart w:id="421" w:name="_Toc7820"/>
      <w:bookmarkStart w:id="422" w:name="_Toc20566"/>
      <w:bookmarkStart w:id="423" w:name="_Toc29917"/>
      <w:bookmarkStart w:id="424" w:name="_Toc30608"/>
      <w:bookmarkStart w:id="425" w:name="_Toc18334"/>
      <w:bookmarkStart w:id="426" w:name="_Toc1287"/>
      <w:bookmarkStart w:id="427" w:name="_Toc25554"/>
      <w:bookmarkStart w:id="428" w:name="_Toc23022"/>
      <w:bookmarkStart w:id="429" w:name="_Toc20770"/>
      <w:bookmarkStart w:id="430" w:name="_Toc29502"/>
      <w:bookmarkStart w:id="431" w:name="_Toc9101"/>
      <w:bookmarkStart w:id="432" w:name="_Toc23537"/>
      <w:bookmarkStart w:id="433" w:name="_Toc21653"/>
      <w:bookmarkStart w:id="434" w:name="_Toc21152"/>
      <w:r>
        <w:rPr>
          <w:rFonts w:hint="eastAsia" w:ascii="仿宋_GB2312" w:hAnsi="仿宋_GB2312" w:eastAsia="仿宋_GB2312" w:cs="仿宋_GB2312"/>
          <w:color w:val="auto"/>
          <w:kern w:val="0"/>
          <w:sz w:val="32"/>
          <w:szCs w:val="32"/>
          <w:u w:val="none"/>
          <w:lang w:val="en-US" w:eastAsia="zh-CN" w:bidi="ar"/>
        </w:rPr>
        <w:t>3.2.5 响应</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Pr>
          <w:rFonts w:hint="eastAsia" w:ascii="仿宋_GB2312" w:hAnsi="仿宋_GB2312" w:eastAsia="仿宋_GB2312" w:cs="仿宋_GB2312"/>
          <w:color w:val="auto"/>
          <w:kern w:val="0"/>
          <w:sz w:val="32"/>
          <w:szCs w:val="32"/>
          <w:u w:val="none"/>
          <w:lang w:val="en-US" w:eastAsia="zh-CN" w:bidi="ar"/>
        </w:rPr>
        <w:t>启动</w:t>
      </w:r>
    </w:p>
    <w:p w14:paraId="3360D025">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按照地震灾害影响范围、严重程度等，地震灾害应急响应分为Ⅰ级、Ⅱ级、Ⅲ级和Ⅳ级四个等级。地震灾害发生后，市抗震救灾指挥部立即组织指挥部成员和专家，对地震灾害影响程度及地震趋势等进行综合评估，研判启动相应级别的地震应急响应。地震应急响应启动后，可视灾情及震情趋势发展等情况调整响应级别，避免响应不足或响应过度。</w:t>
      </w:r>
    </w:p>
    <w:p w14:paraId="6E210A94">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根据地震灾害情况，按本行政区地震应急预案要求，灾区所在</w:t>
      </w:r>
      <w:r>
        <w:rPr>
          <w:rFonts w:hint="eastAsia" w:ascii="仿宋_GB2312" w:hAnsi="仿宋_GB2312" w:cs="仿宋_GB2312"/>
          <w:color w:val="auto"/>
          <w:kern w:val="0"/>
          <w:sz w:val="32"/>
          <w:szCs w:val="32"/>
          <w:u w:val="none"/>
          <w:lang w:val="en-US" w:eastAsia="zh-CN" w:bidi="ar"/>
        </w:rPr>
        <w:t>县（区）</w:t>
      </w:r>
      <w:r>
        <w:rPr>
          <w:rFonts w:hint="eastAsia" w:ascii="仿宋_GB2312" w:hAnsi="仿宋_GB2312" w:eastAsia="仿宋_GB2312" w:cs="仿宋_GB2312"/>
          <w:color w:val="auto"/>
          <w:kern w:val="0"/>
          <w:sz w:val="32"/>
          <w:szCs w:val="32"/>
          <w:u w:val="none"/>
          <w:lang w:val="en-US" w:eastAsia="zh-CN" w:bidi="ar"/>
        </w:rPr>
        <w:t>、</w:t>
      </w:r>
      <w:r>
        <w:rPr>
          <w:rFonts w:hint="eastAsia" w:ascii="仿宋_GB2312" w:hAnsi="仿宋_GB2312" w:cs="仿宋_GB2312"/>
          <w:color w:val="auto"/>
          <w:kern w:val="0"/>
          <w:sz w:val="32"/>
          <w:szCs w:val="32"/>
          <w:u w:val="none"/>
          <w:lang w:val="en-US" w:eastAsia="zh-CN" w:bidi="ar"/>
        </w:rPr>
        <w:t>乡镇（街道）</w:t>
      </w:r>
      <w:r>
        <w:rPr>
          <w:rFonts w:hint="eastAsia" w:ascii="仿宋_GB2312" w:hAnsi="仿宋_GB2312" w:eastAsia="仿宋_GB2312" w:cs="仿宋_GB2312"/>
          <w:color w:val="auto"/>
          <w:kern w:val="0"/>
          <w:sz w:val="32"/>
          <w:szCs w:val="32"/>
          <w:u w:val="none"/>
          <w:lang w:val="en-US" w:eastAsia="zh-CN" w:bidi="ar"/>
        </w:rPr>
        <w:t>或者同级抗震救灾指挥机构要启动相应级别的应急响应，并向市抗震救灾指挥部报告本地区抗震救灾情况。灾区所在地的应急响应级别，不得低于省、市抗震救灾指挥部的应急响应级别。</w:t>
      </w:r>
    </w:p>
    <w:p w14:paraId="327EFD60">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丧失自我恢复能力、需要上级政府支援的灾区，可根据需要适当提高响应级别。</w:t>
      </w:r>
    </w:p>
    <w:p w14:paraId="7729B94F">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（1）Ⅰ级响应</w:t>
      </w:r>
    </w:p>
    <w:p w14:paraId="3EB651A4">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我市发生7.0级以上地震，或造成300人以上死亡（含失踪），或造成特别重大经济损失的地震灾害，初判为特别重大地震灾害。</w:t>
      </w:r>
    </w:p>
    <w:p w14:paraId="420AAEB1">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特别重大地震灾害，市抗震救灾指挥部报请市政府启动地震应急Ⅰ级响应，在国务院抗震救灾指挥部和省抗震救灾指挥部统一领导下，协调开展灾区地震应急工作。</w:t>
      </w:r>
    </w:p>
    <w:p w14:paraId="48250B38">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市抗震救灾指挥部应立即成立综合信息组、抢险救援组、群众安置组、灾情监测组、医疗防疫组、社会治安组、基础设施和装备物资保障组、交通运输组、灾害评估组、宣传报道组、恢复重建组，由牵头单位组织开展工作。</w:t>
      </w:r>
    </w:p>
    <w:p w14:paraId="652F8EA4">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市抗震救灾指挥部负责同志带领工作组赶赴灾区，先期成立现场指挥部，在省抗震救灾指挥部工作组到达前领导灾区应急救援工作。</w:t>
      </w:r>
    </w:p>
    <w:p w14:paraId="60C0B1EC">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市抗震救灾指挥部有关成员单位负责同志到市应急指挥部参加联合会商，并按要求派员参与联合值守，随时报告所在部门或所属行业灾情信息。</w:t>
      </w:r>
    </w:p>
    <w:p w14:paraId="66DDFBCC">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bookmarkStart w:id="435" w:name="_Toc12032"/>
      <w:bookmarkStart w:id="436" w:name="_Toc20533"/>
      <w:bookmarkStart w:id="437" w:name="_Toc22549"/>
      <w:bookmarkStart w:id="438" w:name="_Toc17276"/>
      <w:bookmarkStart w:id="439" w:name="_Toc22411"/>
      <w:bookmarkStart w:id="440" w:name="_Toc12915"/>
      <w:bookmarkStart w:id="441" w:name="_Toc20376"/>
      <w:bookmarkStart w:id="442" w:name="_Toc19056"/>
      <w:bookmarkStart w:id="443" w:name="_Toc19020"/>
      <w:bookmarkStart w:id="444" w:name="_Toc26181"/>
      <w:bookmarkStart w:id="445" w:name="_Toc13249"/>
      <w:bookmarkStart w:id="446" w:name="_Toc20843"/>
      <w:bookmarkStart w:id="447" w:name="_Toc24689"/>
      <w:bookmarkStart w:id="448" w:name="_Toc31534"/>
      <w:bookmarkStart w:id="449" w:name="_Toc6519"/>
      <w:bookmarkStart w:id="450" w:name="_Toc18616"/>
      <w:bookmarkStart w:id="451" w:name="_Toc5757"/>
      <w:bookmarkStart w:id="452" w:name="_Toc29419"/>
      <w:bookmarkStart w:id="453" w:name="_Toc22211"/>
      <w:bookmarkStart w:id="454" w:name="_Toc7998"/>
      <w:bookmarkStart w:id="455" w:name="_Toc17878"/>
      <w:bookmarkStart w:id="456" w:name="_Toc3737"/>
      <w:bookmarkStart w:id="457" w:name="_Toc26952"/>
      <w:bookmarkStart w:id="458" w:name="_Toc8358"/>
      <w:bookmarkStart w:id="459" w:name="_Toc10725"/>
      <w:r>
        <w:rPr>
          <w:rFonts w:hint="eastAsia" w:ascii="仿宋_GB2312" w:hAnsi="仿宋_GB2312" w:eastAsia="仿宋_GB2312" w:cs="仿宋_GB2312"/>
          <w:color w:val="auto"/>
          <w:kern w:val="0"/>
          <w:sz w:val="32"/>
          <w:szCs w:val="32"/>
          <w:u w:val="none"/>
          <w:lang w:val="en-US" w:eastAsia="zh-CN" w:bidi="ar"/>
        </w:rPr>
        <w:t>市抗震救灾指挥部、各成员单位及时将抗震救灾情况向上级报告。</w:t>
      </w:r>
    </w:p>
    <w:p w14:paraId="4FD9E0BF">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（2）Ⅱ级响应</w:t>
      </w:r>
    </w:p>
    <w:p w14:paraId="47EDD093">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我市发生6.5级以上、7.0级以下地震，或我市行政区边线（指市界，下同）外50公里范围内发生7.0级以上地震，或造成50人以上、300人以下死亡（含失踪），或造成重大经济损失的地震灾害，初判为重大地震灾害。</w:t>
      </w:r>
    </w:p>
    <w:p w14:paraId="551B87B3">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重大地震灾害，市抗震救灾指挥部报请市政府启动Ⅱ级响应，在省抗震救灾指挥部统一领导下，协调开展灾区地震应急工作。</w:t>
      </w:r>
    </w:p>
    <w:p w14:paraId="35CAAD99">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市抗震救灾指挥部应立即成立综合信息组、抢险救援组、群众安置组、灾情监测组、医疗防疫组、社会治安组、基础设施和装备物资保障组、交通运输组、灾害评估组、宣传报道组、恢复重建组，由牵头单位组织开展工作。</w:t>
      </w:r>
    </w:p>
    <w:p w14:paraId="5AA7A29D">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市抗震救灾指挥部负责同志带领工作组赶赴灾区，先期成立现场指挥部，在省抗震救灾指挥部工作组到达前领导灾区应急救援工作。</w:t>
      </w:r>
    </w:p>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14:paraId="6EFB0B2C">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bookmarkStart w:id="460" w:name="_Toc19622"/>
      <w:bookmarkStart w:id="461" w:name="_Toc14630"/>
      <w:bookmarkStart w:id="462" w:name="_Toc2852"/>
      <w:bookmarkStart w:id="463" w:name="_Toc9991"/>
      <w:bookmarkStart w:id="464" w:name="_Toc12844"/>
      <w:bookmarkStart w:id="465" w:name="_Toc8612"/>
      <w:bookmarkStart w:id="466" w:name="_Toc27280"/>
      <w:bookmarkStart w:id="467" w:name="_Toc20185"/>
      <w:bookmarkStart w:id="468" w:name="_Toc15097"/>
      <w:bookmarkStart w:id="469" w:name="_Toc11192"/>
      <w:bookmarkStart w:id="470" w:name="_Toc2556"/>
      <w:bookmarkStart w:id="471" w:name="_Toc16456"/>
      <w:bookmarkStart w:id="472" w:name="_Toc7695"/>
      <w:bookmarkStart w:id="473" w:name="_Toc15130"/>
      <w:bookmarkStart w:id="474" w:name="_Toc29812"/>
      <w:bookmarkStart w:id="475" w:name="_Toc31955"/>
      <w:bookmarkStart w:id="476" w:name="_Toc28170"/>
      <w:bookmarkStart w:id="477" w:name="_Toc4215"/>
      <w:bookmarkStart w:id="478" w:name="_Toc19248"/>
      <w:bookmarkStart w:id="479" w:name="_Toc19612"/>
      <w:bookmarkStart w:id="480" w:name="_Toc12377"/>
      <w:bookmarkStart w:id="481" w:name="_Toc12468"/>
      <w:bookmarkStart w:id="482" w:name="_Toc6559"/>
      <w:bookmarkStart w:id="483" w:name="_Toc12660"/>
      <w:r>
        <w:rPr>
          <w:rFonts w:hint="eastAsia" w:ascii="仿宋_GB2312" w:hAnsi="仿宋_GB2312" w:eastAsia="仿宋_GB2312" w:cs="仿宋_GB2312"/>
          <w:color w:val="auto"/>
          <w:kern w:val="0"/>
          <w:sz w:val="32"/>
          <w:szCs w:val="32"/>
          <w:u w:val="none"/>
          <w:lang w:val="en-US" w:eastAsia="zh-CN" w:bidi="ar"/>
        </w:rPr>
        <w:t>市抗震救灾指挥部有关成员单位负责同志到市应急指挥部参加联合会商，并按要求派员参与联合值守，随时报告所在部门或所属行业灾情信息。</w:t>
      </w:r>
    </w:p>
    <w:p w14:paraId="609475A3">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市抗震救灾指挥部、各成员单位及时将抗震救灾情况向上级报告。</w:t>
      </w:r>
    </w:p>
    <w:p w14:paraId="23504852">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（3）Ⅲ级响应</w:t>
      </w:r>
    </w:p>
    <w:p w14:paraId="067F3CAD">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我市发生6.0级以上、6.5级以下地震，或我市行政区边线外50公里范围内发生6.5级以上、7.0级以下地震，或造成10人以上、50人以下死亡（含失踪），或造成较大经济损失的地震灾害，初判为较大地震灾害。</w:t>
      </w:r>
    </w:p>
    <w:p w14:paraId="0FF84514">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较大地震灾害，由市抗震救灾指挥部总指挥决定启动Ⅲ级响应。在省抗震救灾指挥部的支持下，由市抗震救灾指挥部领导灾区地震应急工作。</w:t>
      </w:r>
    </w:p>
    <w:p w14:paraId="01FDAB70">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市抗震救灾指挥部应</w:t>
      </w:r>
      <w:r>
        <w:rPr>
          <w:rFonts w:hint="eastAsia" w:ascii="仿宋_GB2312" w:hAnsi="仿宋_GB2312" w:eastAsia="仿宋_GB2312" w:cs="仿宋_GB2312"/>
          <w:i w:val="0"/>
          <w:iCs w:val="0"/>
          <w:color w:val="auto"/>
          <w:kern w:val="0"/>
          <w:sz w:val="32"/>
          <w:szCs w:val="32"/>
          <w:u w:val="none"/>
          <w:lang w:val="en-US" w:eastAsia="zh-CN" w:bidi="ar"/>
        </w:rPr>
        <w:t>立即成立</w:t>
      </w:r>
      <w:r>
        <w:rPr>
          <w:rFonts w:hint="eastAsia" w:ascii="仿宋_GB2312" w:hAnsi="仿宋_GB2312" w:eastAsia="仿宋_GB2312" w:cs="仿宋_GB2312"/>
          <w:color w:val="auto"/>
          <w:kern w:val="0"/>
          <w:sz w:val="32"/>
          <w:szCs w:val="32"/>
          <w:u w:val="none"/>
          <w:lang w:val="en-US" w:eastAsia="zh-CN" w:bidi="ar"/>
        </w:rPr>
        <w:t>综合信息组、灾情监测组、宣传报道组，视情增设抢险救援组、群众安置组、社会治安组、医疗防疫组、基础设施和装备物资保障组、交通运输组、灾害评估组，由牵头单位组织开展工作。</w:t>
      </w:r>
    </w:p>
    <w:p w14:paraId="15391623">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市抗震救灾指挥部派出工作组赶赴灾区，立即成立现场指挥部，指导、协调灾区开展应急救援工作。</w:t>
      </w:r>
    </w:p>
    <w:p w14:paraId="0FF9A022">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市抗震救灾指挥部部分成员单位派员参与联合值守，随时报告所在部门或所属行业灾情信息。</w:t>
      </w:r>
    </w:p>
    <w:p w14:paraId="4CEBFC4E">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市抗震救灾指挥部及时将抗震救灾情况分别报省应急管理厅，市委、市政府；各成员单位及时将抗震救灾情况向上级报告。</w:t>
      </w:r>
    </w:p>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14:paraId="3D2F028B">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（4）Ⅳ级响应</w:t>
      </w:r>
    </w:p>
    <w:p w14:paraId="168040E1">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我市发生5.0级以上、6.0级以下地震，或我市行政区边线外50公里范围内发生6.0级以上、6.5级以下地震，或造成10人以下死亡（含失踪），或造成一般经济损失的地震灾害，初判为一般地震灾害。</w:t>
      </w:r>
    </w:p>
    <w:p w14:paraId="30500FFE">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一般地震灾害，由市抗震救灾指挥部常务副总指挥决定启动Ⅳ级响应。在省、市抗震救灾指挥部的支持下，由灾区所在</w:t>
      </w:r>
      <w:r>
        <w:rPr>
          <w:rFonts w:hint="eastAsia" w:ascii="仿宋_GB2312" w:hAnsi="仿宋_GB2312" w:cs="仿宋_GB2312"/>
          <w:color w:val="auto"/>
          <w:kern w:val="0"/>
          <w:sz w:val="32"/>
          <w:szCs w:val="32"/>
          <w:u w:val="none"/>
          <w:lang w:val="en-US" w:eastAsia="zh-CN" w:bidi="ar"/>
        </w:rPr>
        <w:t>县（区）</w:t>
      </w:r>
      <w:r>
        <w:rPr>
          <w:rFonts w:hint="eastAsia" w:ascii="仿宋_GB2312" w:hAnsi="仿宋_GB2312" w:eastAsia="仿宋_GB2312" w:cs="仿宋_GB2312"/>
          <w:color w:val="auto"/>
          <w:kern w:val="0"/>
          <w:sz w:val="32"/>
          <w:szCs w:val="32"/>
          <w:u w:val="none"/>
          <w:lang w:val="en-US" w:eastAsia="zh-CN" w:bidi="ar"/>
        </w:rPr>
        <w:t>抗震救灾指挥部领导灾区地震应急工作。</w:t>
      </w:r>
    </w:p>
    <w:p w14:paraId="6A00DC2E">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市抗震救灾指挥部应先期成立综合信息组、灾情监测组、宣传报道组。涉及灾区失联人员搜救或受灾群众转移安置的，应视情增设抢险救援组、群众安置组、社会治安组、医疗防疫组、灾害评估组，由牵头单位组织开展工作。</w:t>
      </w:r>
    </w:p>
    <w:p w14:paraId="5C04292C">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市抗震救灾指挥部办公室派出工作组赶赴灾区，指导协调应急救援工作。</w:t>
      </w:r>
    </w:p>
    <w:p w14:paraId="5329D199">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市抗震救灾指挥部部分成员单位派员参与联合值守，随时报告所在部门或所属行业灾情信息。</w:t>
      </w:r>
    </w:p>
    <w:p w14:paraId="4A85D531">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bookmarkStart w:id="484" w:name="_Toc27250"/>
      <w:bookmarkStart w:id="485" w:name="_Toc12177"/>
      <w:bookmarkStart w:id="486" w:name="_Toc16406"/>
      <w:bookmarkStart w:id="487" w:name="_Toc21010"/>
      <w:bookmarkStart w:id="488" w:name="_Toc5145"/>
      <w:bookmarkStart w:id="489" w:name="_Toc4568"/>
      <w:bookmarkStart w:id="490" w:name="_Toc7623"/>
      <w:bookmarkStart w:id="491" w:name="_Toc25759"/>
      <w:bookmarkStart w:id="492" w:name="_Toc16835"/>
      <w:bookmarkStart w:id="493" w:name="_Toc3719"/>
      <w:bookmarkStart w:id="494" w:name="_Toc9755"/>
      <w:bookmarkStart w:id="495" w:name="_Toc27650"/>
      <w:bookmarkStart w:id="496" w:name="_Toc2998"/>
      <w:bookmarkStart w:id="497" w:name="_Toc5603"/>
      <w:bookmarkStart w:id="498" w:name="_Toc13664"/>
      <w:bookmarkStart w:id="499" w:name="_Toc21758"/>
      <w:bookmarkStart w:id="500" w:name="_Toc30343"/>
      <w:bookmarkStart w:id="501" w:name="_Toc30541"/>
      <w:bookmarkStart w:id="502" w:name="_Toc3853"/>
      <w:bookmarkStart w:id="503" w:name="_Toc1524"/>
      <w:bookmarkStart w:id="504" w:name="_Toc16681"/>
      <w:bookmarkStart w:id="505" w:name="_Toc16301"/>
      <w:bookmarkStart w:id="506" w:name="_Toc3989"/>
      <w:r>
        <w:rPr>
          <w:rFonts w:hint="eastAsia" w:ascii="仿宋_GB2312" w:hAnsi="仿宋_GB2312" w:eastAsia="仿宋_GB2312" w:cs="仿宋_GB2312"/>
          <w:color w:val="auto"/>
          <w:kern w:val="0"/>
          <w:sz w:val="32"/>
          <w:szCs w:val="32"/>
          <w:u w:val="none"/>
          <w:lang w:val="en-US" w:eastAsia="zh-CN" w:bidi="ar"/>
        </w:rPr>
        <w:t>市抗震救灾指挥部及时将抗震救灾情况分别报省应急管理厅，市委、市政府；各成员单位及时将抗震救灾情况向上级报告。</w:t>
      </w:r>
    </w:p>
    <w:p w14:paraId="28B8F340">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3.2.6 现场处置</w:t>
      </w:r>
    </w:p>
    <w:p w14:paraId="416DE316">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地震灾害发生后，根据启动响应的等级成立相应指挥机构，建立现场指挥部，统筹协调现场应急救援行动。</w:t>
      </w:r>
    </w:p>
    <w:p w14:paraId="159909B2">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（1）搜救被困人员</w:t>
      </w:r>
    </w:p>
    <w:p w14:paraId="204AB774">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立即组织基层组织、有关单位和干部群众开展自救互救；组织协调驻地解放军、武警部队、地震、综合性消防救援、建筑和市政等各方面</w:t>
      </w:r>
      <w:r>
        <w:rPr>
          <w:rFonts w:hint="eastAsia" w:ascii="仿宋_GB2312" w:hAnsi="仿宋_GB2312" w:cs="仿宋_GB2312"/>
          <w:color w:val="auto"/>
          <w:kern w:val="0"/>
          <w:sz w:val="32"/>
          <w:szCs w:val="32"/>
          <w:u w:val="none"/>
          <w:lang w:val="en-US" w:eastAsia="zh-CN" w:bidi="ar"/>
        </w:rPr>
        <w:t>力量</w:t>
      </w:r>
      <w:r>
        <w:rPr>
          <w:rFonts w:hint="eastAsia" w:ascii="仿宋_GB2312" w:hAnsi="仿宋_GB2312" w:eastAsia="仿宋_GB2312" w:cs="仿宋_GB2312"/>
          <w:color w:val="auto"/>
          <w:kern w:val="0"/>
          <w:sz w:val="32"/>
          <w:szCs w:val="32"/>
          <w:u w:val="none"/>
          <w:lang w:val="en-US" w:eastAsia="zh-CN" w:bidi="ar"/>
        </w:rPr>
        <w:t>参与救援，调配大型吊车、起重机、千斤顶、生命探测仪等救援装备，抢救被埋压人员，组织营救受灾被困人员。视情况采取交通管控等措施。</w:t>
      </w:r>
    </w:p>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14:paraId="35977C75">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bookmarkStart w:id="507" w:name="_Toc8682"/>
      <w:bookmarkStart w:id="508" w:name="_Toc1842"/>
      <w:bookmarkStart w:id="509" w:name="_Toc17916"/>
      <w:bookmarkStart w:id="510" w:name="_Toc2935"/>
      <w:bookmarkStart w:id="511" w:name="_Toc2088"/>
      <w:bookmarkStart w:id="512" w:name="_Toc5638"/>
      <w:bookmarkStart w:id="513" w:name="_Toc21774"/>
      <w:bookmarkStart w:id="514" w:name="_Toc2686"/>
      <w:bookmarkStart w:id="515" w:name="_Toc25793"/>
      <w:bookmarkStart w:id="516" w:name="_Toc4396"/>
      <w:bookmarkStart w:id="517" w:name="_Toc7007"/>
      <w:bookmarkStart w:id="518" w:name="_Toc24050"/>
      <w:bookmarkStart w:id="519" w:name="_Toc5181"/>
      <w:bookmarkStart w:id="520" w:name="_Toc10644"/>
      <w:bookmarkStart w:id="521" w:name="_Toc6337"/>
      <w:bookmarkStart w:id="522" w:name="_Toc21371"/>
      <w:bookmarkStart w:id="523" w:name="_Toc23726"/>
      <w:bookmarkStart w:id="524" w:name="_Toc19936"/>
      <w:bookmarkStart w:id="525" w:name="_Toc2105"/>
      <w:bookmarkStart w:id="526" w:name="_Toc7458"/>
      <w:bookmarkStart w:id="527" w:name="_Toc24047"/>
      <w:bookmarkStart w:id="528" w:name="_Toc2628"/>
      <w:bookmarkStart w:id="529" w:name="_Toc24776"/>
      <w:bookmarkStart w:id="530" w:name="_Toc10422"/>
      <w:r>
        <w:rPr>
          <w:rFonts w:hint="eastAsia" w:ascii="仿宋_GB2312" w:hAnsi="仿宋_GB2312" w:eastAsia="仿宋_GB2312" w:cs="仿宋_GB2312"/>
          <w:color w:val="auto"/>
          <w:kern w:val="0"/>
          <w:sz w:val="32"/>
          <w:szCs w:val="32"/>
          <w:u w:val="none"/>
          <w:lang w:val="en-US" w:eastAsia="zh-CN" w:bidi="ar"/>
        </w:rPr>
        <w:t>（2）开展医疗救治和卫生防疫</w:t>
      </w:r>
    </w:p>
    <w:p w14:paraId="7FD16D24">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迅速协调组织应急医疗队伍赶赴现场，抢救受伤群众，必要时建立战地医院或医疗点，实施现场救治</w:t>
      </w:r>
      <w:r>
        <w:rPr>
          <w:rFonts w:hint="eastAsia" w:ascii="仿宋_GB2312" w:hAnsi="仿宋_GB2312" w:cs="仿宋_GB2312"/>
          <w:color w:val="auto"/>
          <w:kern w:val="0"/>
          <w:sz w:val="32"/>
          <w:szCs w:val="32"/>
          <w:u w:val="none"/>
          <w:lang w:val="en-US" w:eastAsia="zh-CN" w:bidi="ar"/>
        </w:rPr>
        <w:t>；</w:t>
      </w:r>
      <w:r>
        <w:rPr>
          <w:rFonts w:hint="eastAsia" w:ascii="仿宋_GB2312" w:hAnsi="仿宋_GB2312" w:eastAsia="仿宋_GB2312" w:cs="仿宋_GB2312"/>
          <w:color w:val="auto"/>
          <w:kern w:val="0"/>
          <w:sz w:val="32"/>
          <w:szCs w:val="32"/>
          <w:u w:val="none"/>
          <w:lang w:val="en-US" w:eastAsia="zh-CN" w:bidi="ar"/>
        </w:rPr>
        <w:t>加强救护车、医疗器械、药品和血浆的组织调度，特别是加大对重灾区及偏远地区医疗器械、药品供应，确保被救人员得到及时医治，最大程度减少伤员致死、致残</w:t>
      </w:r>
      <w:r>
        <w:rPr>
          <w:rFonts w:hint="eastAsia" w:ascii="仿宋_GB2312" w:hAnsi="仿宋_GB2312" w:cs="仿宋_GB2312"/>
          <w:color w:val="auto"/>
          <w:kern w:val="0"/>
          <w:sz w:val="32"/>
          <w:szCs w:val="32"/>
          <w:u w:val="none"/>
          <w:lang w:val="en-US" w:eastAsia="zh-CN" w:bidi="ar"/>
        </w:rPr>
        <w:t>；</w:t>
      </w:r>
      <w:r>
        <w:rPr>
          <w:rFonts w:hint="eastAsia" w:ascii="仿宋_GB2312" w:hAnsi="仿宋_GB2312" w:eastAsia="仿宋_GB2312" w:cs="仿宋_GB2312"/>
          <w:color w:val="auto"/>
          <w:kern w:val="0"/>
          <w:sz w:val="32"/>
          <w:szCs w:val="32"/>
          <w:u w:val="none"/>
          <w:lang w:val="en-US" w:eastAsia="zh-CN" w:bidi="ar"/>
        </w:rPr>
        <w:t>根据需要，统筹周边医疗资源，异地分流重伤员</w:t>
      </w:r>
      <w:r>
        <w:rPr>
          <w:rFonts w:hint="eastAsia" w:ascii="仿宋_GB2312" w:hAnsi="仿宋_GB2312" w:cs="仿宋_GB2312"/>
          <w:color w:val="auto"/>
          <w:kern w:val="0"/>
          <w:sz w:val="32"/>
          <w:szCs w:val="32"/>
          <w:u w:val="none"/>
          <w:lang w:val="en-US" w:eastAsia="zh-CN" w:bidi="ar"/>
        </w:rPr>
        <w:t>；</w:t>
      </w:r>
      <w:r>
        <w:rPr>
          <w:rFonts w:hint="eastAsia" w:ascii="仿宋_GB2312" w:hAnsi="仿宋_GB2312" w:eastAsia="仿宋_GB2312" w:cs="仿宋_GB2312"/>
          <w:color w:val="auto"/>
          <w:kern w:val="0"/>
          <w:sz w:val="32"/>
          <w:szCs w:val="32"/>
          <w:u w:val="none"/>
          <w:lang w:val="en-US" w:eastAsia="zh-CN" w:bidi="ar"/>
        </w:rPr>
        <w:t>开展灾后心理援助。</w:t>
      </w:r>
    </w:p>
    <w:p w14:paraId="7BF0B421">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及时监测消毒灾区水源，加强食品和饮用水卫生监督；做好死亡动物、医疗废弃物、生活垃圾、粪便等消毒和无害化处理；加强鼠疫、狂犬病等重点传染病的监测、防控和处理，及时接种疫苗；实行重大传染病和突发卫生事件日报告制度。</w:t>
      </w:r>
    </w:p>
    <w:p w14:paraId="00111F33">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（3）安置受灾群众</w:t>
      </w:r>
    </w:p>
    <w:p w14:paraId="100759C2">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开放应急避难场所；筹集和组织调运食品、饮用水、衣被、帐篷、移动厕所等各类救灾物资，解决受灾群众吃饭、饮水、穿衣、住处等问题；在受灾地设置生活用品发放点；根据需要调运、安装活动板房和简易房；在受灾群众集中安置点配备必要的消防设备器材。救灾物资优先保证集中安置点、学校、医院、福利院的需要；优先安置未成年人、老年人、残疾人、孕产期及哺育期妇女。做好遇难人员的善后工作，抚慰遇难者家属；鼓励采取投亲靠友等方式，安置受灾群众。积极创造条件复课。</w:t>
      </w:r>
    </w:p>
    <w:p w14:paraId="5265C489">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（4）抢修基础设施</w:t>
      </w:r>
    </w:p>
    <w:p w14:paraId="5B8E95AE">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抢通修复因灾损毁的铁路、公路、桥梁、隧道、码头、航道等交通基础设施，协调运力，优先保证应急抢险救援人员、救灾物资和伤病人员的运输需要</w:t>
      </w:r>
      <w:r>
        <w:rPr>
          <w:rFonts w:hint="eastAsia" w:ascii="仿宋_GB2312" w:hAnsi="仿宋_GB2312" w:cs="仿宋_GB2312"/>
          <w:color w:val="auto"/>
          <w:kern w:val="0"/>
          <w:sz w:val="32"/>
          <w:szCs w:val="32"/>
          <w:u w:val="none"/>
          <w:lang w:val="en-US" w:eastAsia="zh-CN" w:bidi="ar"/>
        </w:rPr>
        <w:t>；</w:t>
      </w:r>
      <w:r>
        <w:rPr>
          <w:rFonts w:hint="eastAsia" w:ascii="仿宋_GB2312" w:hAnsi="仿宋_GB2312" w:eastAsia="仿宋_GB2312" w:cs="仿宋_GB2312"/>
          <w:color w:val="auto"/>
          <w:kern w:val="0"/>
          <w:sz w:val="32"/>
          <w:szCs w:val="32"/>
          <w:u w:val="none"/>
          <w:lang w:val="en-US" w:eastAsia="zh-CN" w:bidi="ar"/>
        </w:rPr>
        <w:t>抢修供电、供水、供气、通讯、广播电视等基础设施，保障灾区群众基本生活需要和应急工作需要。</w:t>
      </w:r>
    </w:p>
    <w:p w14:paraId="6B8DFF53">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（5）防御次生灾害</w:t>
      </w:r>
    </w:p>
    <w:p w14:paraId="006D793E">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加强次生灾害监测预警，防范因强余震和降雨形成的滑坡、泥石流、滚石等造成新的人员伤亡和交通堵塞；组织专家对水库、水电站、航运枢纽、堤坝、堰塞湖等开展险情排查、评估和除险加固。必要时转移下游危险区域人员。</w:t>
      </w:r>
    </w:p>
    <w:p w14:paraId="03ED6979">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加强危险化学品生产储存设备、输油气管道、输配电线路、煤矿、非煤矿山、尾矿库等情况排查，及时采取安全防范措施。</w:t>
      </w:r>
    </w:p>
    <w:p w14:paraId="1F475BEF">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（6）维护社会治安</w:t>
      </w:r>
    </w:p>
    <w:p w14:paraId="4C710517">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加强灾区治安、道路交通管理，依法打击盗窃、抢劫、聚众哄抢、诈骗、造谣传谣等违法犯罪活动，做好涉灾涉稳风险监测、矛盾纠纷排查化解和法律服务工作，妥善处置群体性事件，维护社会稳定。</w:t>
      </w:r>
    </w:p>
    <w:p w14:paraId="08B2D346">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3.2.7 社会动员</w:t>
      </w:r>
    </w:p>
    <w:p w14:paraId="592833D2">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灾区各级人民政府或相应的应急指挥机构可根据地震灾害的危害程度和范围，调动社会力量参与抗震救灾，紧急情况下可依法征用、调用车辆、物资、人员等。</w:t>
      </w:r>
    </w:p>
    <w:p w14:paraId="7F702458">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鼓励公民、法人和其他组织按照《中华人民共和国公益事业捐赠法》等有关法律法规的规定进行捐赠和援助。</w:t>
      </w:r>
    </w:p>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14:paraId="3DFEB7A6">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bookmarkStart w:id="531" w:name="_Toc11255"/>
      <w:bookmarkStart w:id="532" w:name="_Toc17697"/>
      <w:bookmarkStart w:id="533" w:name="_Toc21626"/>
      <w:bookmarkStart w:id="534" w:name="_Toc1021"/>
      <w:bookmarkStart w:id="535" w:name="_Toc19515"/>
      <w:bookmarkStart w:id="536" w:name="_Toc27447"/>
      <w:bookmarkStart w:id="537" w:name="_Toc24155"/>
      <w:bookmarkStart w:id="538" w:name="_Toc14153"/>
      <w:bookmarkStart w:id="539" w:name="_Toc3706"/>
      <w:bookmarkStart w:id="540" w:name="_Toc4025"/>
      <w:bookmarkStart w:id="541" w:name="_Toc8931"/>
      <w:bookmarkStart w:id="542" w:name="_Toc25971"/>
      <w:bookmarkStart w:id="543" w:name="_Toc7035"/>
      <w:bookmarkStart w:id="544" w:name="_Toc32092"/>
      <w:bookmarkStart w:id="545" w:name="_Toc30158"/>
      <w:bookmarkStart w:id="546" w:name="_Toc12300"/>
      <w:bookmarkStart w:id="547" w:name="_Toc22027"/>
      <w:bookmarkStart w:id="548" w:name="_Toc8503"/>
      <w:bookmarkStart w:id="549" w:name="_Toc12726"/>
      <w:bookmarkStart w:id="550" w:name="_Toc16978"/>
      <w:bookmarkStart w:id="551" w:name="_Toc25497"/>
      <w:bookmarkStart w:id="552" w:name="_Toc835"/>
      <w:bookmarkStart w:id="553" w:name="_Toc21761"/>
      <w:bookmarkStart w:id="554" w:name="_Toc5371"/>
      <w:bookmarkStart w:id="555" w:name="_Toc29540"/>
      <w:r>
        <w:rPr>
          <w:rFonts w:hint="eastAsia" w:ascii="仿宋_GB2312" w:hAnsi="仿宋_GB2312" w:eastAsia="仿宋_GB2312" w:cs="仿宋_GB2312"/>
          <w:color w:val="auto"/>
          <w:kern w:val="0"/>
          <w:sz w:val="32"/>
          <w:szCs w:val="32"/>
          <w:u w:val="none"/>
          <w:lang w:val="en-US" w:eastAsia="zh-CN" w:bidi="ar"/>
        </w:rPr>
        <w:t>3.2.8 应急终止</w:t>
      </w:r>
    </w:p>
    <w:p w14:paraId="05F41308">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地震灾害有效处置后，经评估研判，由原宣布启动应急响应的机关决定终止应急响应。</w:t>
      </w:r>
    </w:p>
    <w:p w14:paraId="686EB20F">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1"/>
        <w:rPr>
          <w:rFonts w:hint="eastAsia" w:ascii="楷体_GB2312" w:hAnsi="楷体_GB2312" w:eastAsia="楷体_GB2312" w:cs="楷体_GB2312"/>
          <w:b w:val="0"/>
          <w:bCs w:val="0"/>
          <w:color w:val="auto"/>
          <w:sz w:val="32"/>
          <w:szCs w:val="32"/>
          <w:u w:val="none"/>
        </w:rPr>
      </w:pPr>
      <w:r>
        <w:rPr>
          <w:rFonts w:hint="eastAsia" w:ascii="楷体_GB2312" w:hAnsi="楷体_GB2312" w:eastAsia="楷体_GB2312" w:cs="楷体_GB2312"/>
          <w:b w:val="0"/>
          <w:bCs w:val="0"/>
          <w:color w:val="auto"/>
          <w:sz w:val="32"/>
          <w:szCs w:val="32"/>
          <w:u w:val="none"/>
          <w:lang w:val="en-US" w:eastAsia="zh-CN"/>
        </w:rPr>
        <w:t>3.3 信息发布</w:t>
      </w:r>
    </w:p>
    <w:p w14:paraId="4E39BCC4">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各级抗震救灾指挥机构要按照分级响应权限做好相应级别地震灾害信息发布相关工作。信息发布确保及时、准确、客观、统一。</w:t>
      </w:r>
    </w:p>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14:paraId="5537D14C">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1"/>
        <w:rPr>
          <w:rFonts w:hint="eastAsia" w:ascii="楷体_GB2312" w:hAnsi="楷体_GB2312" w:eastAsia="楷体_GB2312" w:cs="楷体_GB2312"/>
          <w:b w:val="0"/>
          <w:bCs w:val="0"/>
          <w:color w:val="auto"/>
          <w:sz w:val="32"/>
          <w:szCs w:val="32"/>
          <w:u w:val="none"/>
        </w:rPr>
      </w:pPr>
      <w:bookmarkStart w:id="556" w:name="_Toc29884"/>
      <w:bookmarkStart w:id="557" w:name="_Toc21564"/>
      <w:bookmarkStart w:id="558" w:name="_Toc25713"/>
      <w:bookmarkStart w:id="559" w:name="_Toc27931"/>
      <w:bookmarkStart w:id="560" w:name="_Toc1054"/>
      <w:bookmarkStart w:id="561" w:name="_Toc7559"/>
      <w:bookmarkStart w:id="562" w:name="_Toc22777"/>
      <w:bookmarkStart w:id="563" w:name="_Toc24922"/>
      <w:bookmarkStart w:id="564" w:name="_Toc4547"/>
      <w:bookmarkStart w:id="565" w:name="_Toc2641"/>
      <w:bookmarkStart w:id="566" w:name="_Toc713"/>
      <w:bookmarkStart w:id="567" w:name="_Toc20787"/>
      <w:bookmarkStart w:id="568" w:name="_Toc22934"/>
      <w:bookmarkStart w:id="569" w:name="_Toc22730"/>
      <w:bookmarkStart w:id="570" w:name="_Toc27259"/>
      <w:bookmarkStart w:id="571" w:name="_Toc12523"/>
      <w:bookmarkStart w:id="572" w:name="_Toc10883"/>
      <w:bookmarkStart w:id="573" w:name="_Toc25973"/>
      <w:bookmarkStart w:id="574" w:name="_Toc26604"/>
      <w:bookmarkStart w:id="575" w:name="_Toc19760"/>
      <w:bookmarkStart w:id="576" w:name="_Toc21064"/>
      <w:bookmarkStart w:id="577" w:name="_Toc7354"/>
      <w:bookmarkStart w:id="578" w:name="_Toc19813"/>
      <w:bookmarkStart w:id="579" w:name="_Toc4770"/>
      <w:bookmarkStart w:id="580" w:name="_Toc6772"/>
      <w:r>
        <w:rPr>
          <w:rFonts w:hint="eastAsia" w:ascii="楷体_GB2312" w:hAnsi="楷体_GB2312" w:eastAsia="楷体_GB2312" w:cs="楷体_GB2312"/>
          <w:b w:val="0"/>
          <w:bCs w:val="0"/>
          <w:color w:val="auto"/>
          <w:sz w:val="32"/>
          <w:szCs w:val="32"/>
          <w:u w:val="none"/>
          <w:lang w:val="en-US" w:eastAsia="zh-CN"/>
        </w:rPr>
        <w:t>3.4 恢复重建</w:t>
      </w:r>
    </w:p>
    <w:p w14:paraId="5D9CEC1E">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3.4.1 制订规划</w:t>
      </w:r>
    </w:p>
    <w:p w14:paraId="141F2AF7">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特别重大地震灾害应急处置结束后，按照国务院部署，国务院有关部门或省人民政府组织编制灾后恢复重建规划；重大、较大、一般地震灾害，根据实际需要，分别由省、市、</w:t>
      </w:r>
      <w:r>
        <w:rPr>
          <w:rFonts w:hint="eastAsia" w:ascii="仿宋_GB2312" w:hAnsi="仿宋_GB2312" w:cs="仿宋_GB2312"/>
          <w:color w:val="auto"/>
          <w:kern w:val="0"/>
          <w:sz w:val="32"/>
          <w:szCs w:val="32"/>
          <w:u w:val="none"/>
          <w:lang w:val="en-US" w:eastAsia="zh-CN" w:bidi="ar"/>
        </w:rPr>
        <w:t>县（区）</w:t>
      </w:r>
      <w:r>
        <w:rPr>
          <w:rFonts w:hint="eastAsia" w:ascii="仿宋_GB2312" w:hAnsi="仿宋_GB2312" w:eastAsia="仿宋_GB2312" w:cs="仿宋_GB2312"/>
          <w:color w:val="auto"/>
          <w:kern w:val="0"/>
          <w:sz w:val="32"/>
          <w:szCs w:val="32"/>
          <w:u w:val="none"/>
          <w:lang w:val="en-US" w:eastAsia="zh-CN" w:bidi="ar"/>
        </w:rPr>
        <w:t>人民政府组织编制地震灾后恢复重建规划。</w:t>
      </w:r>
    </w:p>
    <w:p w14:paraId="3DB17557">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3.4.2 征用补偿</w:t>
      </w:r>
    </w:p>
    <w:p w14:paraId="2AC7DC04">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抗震救灾工作结束后，实施应急征用的人民政府要按照《广东省突发事件应对条例》等有关规定及时返还被征用的物资和装备；造成毁损、灭失的，按照国家、省的有关规定给予补偿。</w:t>
      </w:r>
    </w:p>
    <w:p w14:paraId="32DCBC50">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3.4.3 灾害保险</w:t>
      </w:r>
    </w:p>
    <w:p w14:paraId="61FBF56F">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鼓励公众积极参加保险公司的地震灾害保险。</w:t>
      </w:r>
    </w:p>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14:paraId="5A3FC944">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0"/>
        <w:rPr>
          <w:rFonts w:hint="eastAsia" w:ascii="黑体" w:hAnsi="黑体" w:eastAsia="黑体" w:cs="黑体"/>
          <w:b w:val="0"/>
          <w:bCs w:val="0"/>
          <w:color w:val="auto"/>
          <w:sz w:val="32"/>
          <w:szCs w:val="32"/>
          <w:u w:val="none"/>
        </w:rPr>
      </w:pPr>
      <w:bookmarkStart w:id="581" w:name="_Toc25994"/>
      <w:bookmarkStart w:id="582" w:name="_Toc20680"/>
      <w:bookmarkStart w:id="583" w:name="_Toc8047"/>
      <w:bookmarkStart w:id="584" w:name="_Toc19566"/>
      <w:bookmarkStart w:id="585" w:name="_Toc30007"/>
      <w:bookmarkStart w:id="586" w:name="_Toc11565"/>
      <w:bookmarkStart w:id="587" w:name="_Toc6117"/>
      <w:bookmarkStart w:id="588" w:name="_Toc4071"/>
      <w:bookmarkStart w:id="589" w:name="_Toc2364"/>
      <w:bookmarkStart w:id="590" w:name="_Toc30139"/>
      <w:bookmarkStart w:id="591" w:name="_Toc14868"/>
      <w:bookmarkStart w:id="592" w:name="_Toc20390"/>
      <w:bookmarkStart w:id="593" w:name="_Toc8098"/>
      <w:bookmarkStart w:id="594" w:name="_Toc4802"/>
      <w:bookmarkStart w:id="595" w:name="_Toc7134"/>
      <w:bookmarkStart w:id="596" w:name="_Toc18233"/>
      <w:bookmarkStart w:id="597" w:name="_Toc25289"/>
      <w:bookmarkStart w:id="598" w:name="_Toc23025"/>
      <w:bookmarkStart w:id="599" w:name="_Toc14497"/>
      <w:bookmarkStart w:id="600" w:name="_Toc14877"/>
      <w:bookmarkStart w:id="601" w:name="_Toc12441"/>
      <w:bookmarkStart w:id="602" w:name="_Toc32333"/>
      <w:bookmarkStart w:id="603" w:name="_Toc28342"/>
      <w:bookmarkStart w:id="604" w:name="_Toc21833"/>
      <w:bookmarkStart w:id="605" w:name="_Toc28994"/>
      <w:bookmarkStart w:id="606" w:name="_Toc30234"/>
      <w:bookmarkStart w:id="607" w:name="_Toc14709"/>
      <w:r>
        <w:rPr>
          <w:rFonts w:hint="eastAsia" w:ascii="黑体" w:hAnsi="黑体" w:eastAsia="黑体" w:cs="黑体"/>
          <w:b w:val="0"/>
          <w:bCs w:val="0"/>
          <w:color w:val="auto"/>
          <w:sz w:val="32"/>
          <w:szCs w:val="32"/>
          <w:u w:val="none"/>
          <w:lang w:val="en-US" w:eastAsia="zh-CN"/>
        </w:rPr>
        <w:t>4 应急保障</w:t>
      </w:r>
    </w:p>
    <w:p w14:paraId="159AE89F">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1"/>
        <w:rPr>
          <w:rFonts w:hint="eastAsia" w:ascii="楷体_GB2312" w:hAnsi="楷体_GB2312" w:eastAsia="楷体_GB2312" w:cs="楷体_GB2312"/>
          <w:b w:val="0"/>
          <w:bCs w:val="0"/>
          <w:color w:val="auto"/>
          <w:sz w:val="32"/>
          <w:szCs w:val="32"/>
          <w:u w:val="none"/>
        </w:rPr>
      </w:pPr>
      <w:r>
        <w:rPr>
          <w:rFonts w:hint="eastAsia" w:ascii="楷体_GB2312" w:hAnsi="楷体_GB2312" w:eastAsia="楷体_GB2312" w:cs="楷体_GB2312"/>
          <w:b w:val="0"/>
          <w:bCs w:val="0"/>
          <w:color w:val="auto"/>
          <w:sz w:val="32"/>
          <w:szCs w:val="32"/>
          <w:u w:val="none"/>
          <w:lang w:val="en-US" w:eastAsia="zh-CN"/>
        </w:rPr>
        <w:t>4.1 队伍保障</w:t>
      </w:r>
    </w:p>
    <w:p w14:paraId="33976545">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cs="仿宋_GB2312"/>
          <w:color w:val="auto"/>
          <w:kern w:val="0"/>
          <w:sz w:val="32"/>
          <w:szCs w:val="32"/>
          <w:u w:val="none"/>
          <w:lang w:val="en-US" w:eastAsia="zh-CN" w:bidi="ar"/>
        </w:rPr>
        <w:t>各县（区）</w:t>
      </w:r>
      <w:r>
        <w:rPr>
          <w:rFonts w:hint="eastAsia" w:ascii="仿宋_GB2312" w:hAnsi="仿宋_GB2312" w:eastAsia="仿宋_GB2312" w:cs="仿宋_GB2312"/>
          <w:color w:val="auto"/>
          <w:kern w:val="0"/>
          <w:sz w:val="32"/>
          <w:szCs w:val="32"/>
          <w:u w:val="none"/>
          <w:lang w:val="en-US" w:eastAsia="zh-CN" w:bidi="ar"/>
        </w:rPr>
        <w:t>政府</w:t>
      </w:r>
      <w:r>
        <w:rPr>
          <w:rFonts w:hint="eastAsia" w:ascii="仿宋_GB2312" w:hAnsi="仿宋_GB2312" w:cs="仿宋_GB2312"/>
          <w:color w:val="auto"/>
          <w:kern w:val="0"/>
          <w:sz w:val="32"/>
          <w:szCs w:val="32"/>
          <w:u w:val="none"/>
          <w:lang w:val="en-US" w:eastAsia="zh-CN" w:bidi="ar"/>
        </w:rPr>
        <w:t>（管委会）</w:t>
      </w:r>
      <w:r>
        <w:rPr>
          <w:rFonts w:hint="eastAsia" w:ascii="仿宋_GB2312" w:hAnsi="仿宋_GB2312" w:eastAsia="仿宋_GB2312" w:cs="仿宋_GB2312"/>
          <w:color w:val="auto"/>
          <w:kern w:val="0"/>
          <w:sz w:val="32"/>
          <w:szCs w:val="32"/>
          <w:u w:val="none"/>
          <w:lang w:val="en-US" w:eastAsia="zh-CN" w:bidi="ar"/>
        </w:rPr>
        <w:t>，应急管理、消防救援等部门要加强地震灾害专业抢险救灾队伍建设，强化专业培训和演练，提高应对地震灾害的救援救助能力。市、</w:t>
      </w:r>
      <w:r>
        <w:rPr>
          <w:rFonts w:hint="eastAsia" w:ascii="仿宋_GB2312" w:hAnsi="仿宋_GB2312" w:cs="仿宋_GB2312"/>
          <w:color w:val="auto"/>
          <w:kern w:val="0"/>
          <w:sz w:val="32"/>
          <w:szCs w:val="32"/>
          <w:u w:val="none"/>
          <w:lang w:val="en-US" w:eastAsia="zh-CN" w:bidi="ar"/>
        </w:rPr>
        <w:t>县（区）</w:t>
      </w:r>
      <w:r>
        <w:rPr>
          <w:rFonts w:hint="eastAsia" w:ascii="仿宋_GB2312" w:hAnsi="仿宋_GB2312" w:eastAsia="仿宋_GB2312" w:cs="仿宋_GB2312"/>
          <w:color w:val="auto"/>
          <w:kern w:val="0"/>
          <w:sz w:val="32"/>
          <w:szCs w:val="32"/>
          <w:u w:val="none"/>
          <w:lang w:val="en-US" w:eastAsia="zh-CN" w:bidi="ar"/>
        </w:rPr>
        <w:t>各行业部门要加强本行业应急专家队伍建设。</w:t>
      </w:r>
    </w:p>
    <w:p w14:paraId="6B4A5A78">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通讯、广播电视、交通、公路、供水、供电、供气、供油等生命线工程设施产权单位、管理或者生产经营单位要加强抢险、抢修队伍建设。</w:t>
      </w:r>
    </w:p>
    <w:p w14:paraId="36523A88">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cs="仿宋_GB2312"/>
          <w:color w:val="auto"/>
          <w:kern w:val="0"/>
          <w:sz w:val="32"/>
          <w:szCs w:val="32"/>
          <w:u w:val="none"/>
          <w:lang w:val="en-US" w:eastAsia="zh-CN" w:bidi="ar"/>
        </w:rPr>
        <w:t>乡镇（街道）</w:t>
      </w:r>
      <w:r>
        <w:rPr>
          <w:rFonts w:hint="eastAsia" w:ascii="仿宋_GB2312" w:hAnsi="仿宋_GB2312" w:eastAsia="仿宋_GB2312" w:cs="仿宋_GB2312"/>
          <w:color w:val="auto"/>
          <w:kern w:val="0"/>
          <w:sz w:val="32"/>
          <w:szCs w:val="32"/>
          <w:u w:val="none"/>
          <w:lang w:val="en-US" w:eastAsia="zh-CN" w:bidi="ar"/>
        </w:rPr>
        <w:t>和有条件的社区，应组织动员社会力量，建立基层地震抢险救灾队伍，加强日常防灾救灾培训和演练。</w:t>
      </w:r>
    </w:p>
    <w:p w14:paraId="34597709">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1"/>
        <w:rPr>
          <w:rFonts w:hint="eastAsia" w:ascii="楷体_GB2312" w:hAnsi="楷体_GB2312" w:eastAsia="楷体_GB2312" w:cs="楷体_GB2312"/>
          <w:b w:val="0"/>
          <w:bCs w:val="0"/>
          <w:color w:val="auto"/>
          <w:sz w:val="32"/>
          <w:szCs w:val="32"/>
          <w:u w:val="none"/>
        </w:rPr>
      </w:pPr>
      <w:r>
        <w:rPr>
          <w:rFonts w:hint="eastAsia" w:ascii="楷体_GB2312" w:hAnsi="楷体_GB2312" w:eastAsia="楷体_GB2312" w:cs="楷体_GB2312"/>
          <w:b w:val="0"/>
          <w:bCs w:val="0"/>
          <w:color w:val="auto"/>
          <w:sz w:val="32"/>
          <w:szCs w:val="32"/>
          <w:u w:val="none"/>
          <w:lang w:val="en-US" w:eastAsia="zh-CN"/>
        </w:rPr>
        <w:t>4.2 资金保障</w:t>
      </w:r>
    </w:p>
    <w:p w14:paraId="401AEF6C">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市、</w:t>
      </w:r>
      <w:r>
        <w:rPr>
          <w:rFonts w:hint="eastAsia" w:ascii="仿宋_GB2312" w:hAnsi="仿宋_GB2312" w:cs="仿宋_GB2312"/>
          <w:color w:val="auto"/>
          <w:kern w:val="0"/>
          <w:sz w:val="32"/>
          <w:szCs w:val="32"/>
          <w:u w:val="none"/>
          <w:lang w:val="en-US" w:eastAsia="zh-CN" w:bidi="ar"/>
        </w:rPr>
        <w:t>县（区）</w:t>
      </w:r>
      <w:r>
        <w:rPr>
          <w:rFonts w:hint="eastAsia" w:ascii="仿宋_GB2312" w:hAnsi="仿宋_GB2312" w:eastAsia="仿宋_GB2312" w:cs="仿宋_GB2312"/>
          <w:color w:val="auto"/>
          <w:kern w:val="0"/>
          <w:sz w:val="32"/>
          <w:szCs w:val="32"/>
          <w:u w:val="none"/>
          <w:lang w:val="en-US" w:eastAsia="zh-CN" w:bidi="ar"/>
        </w:rPr>
        <w:t>要将防震减灾经费列入财政预算。由市、</w:t>
      </w:r>
      <w:r>
        <w:rPr>
          <w:rFonts w:hint="eastAsia" w:ascii="仿宋_GB2312" w:hAnsi="仿宋_GB2312" w:cs="仿宋_GB2312"/>
          <w:color w:val="auto"/>
          <w:kern w:val="0"/>
          <w:sz w:val="32"/>
          <w:szCs w:val="32"/>
          <w:u w:val="none"/>
          <w:lang w:val="en-US" w:eastAsia="zh-CN" w:bidi="ar"/>
        </w:rPr>
        <w:t>县（区）</w:t>
      </w:r>
      <w:r>
        <w:rPr>
          <w:rFonts w:hint="eastAsia" w:ascii="仿宋_GB2312" w:hAnsi="仿宋_GB2312" w:eastAsia="仿宋_GB2312" w:cs="仿宋_GB2312"/>
          <w:color w:val="auto"/>
          <w:kern w:val="0"/>
          <w:sz w:val="32"/>
          <w:szCs w:val="32"/>
          <w:u w:val="none"/>
          <w:lang w:val="en-US" w:eastAsia="zh-CN" w:bidi="ar"/>
        </w:rPr>
        <w:t>共同承担特别重大、重大地震灾害应急救援救灾中市</w:t>
      </w:r>
      <w:r>
        <w:rPr>
          <w:rFonts w:hint="eastAsia" w:ascii="仿宋_GB2312" w:hAnsi="仿宋_GB2312" w:cs="仿宋_GB2312"/>
          <w:color w:val="auto"/>
          <w:kern w:val="0"/>
          <w:sz w:val="32"/>
          <w:szCs w:val="32"/>
          <w:u w:val="none"/>
          <w:lang w:val="en-US" w:eastAsia="zh-CN" w:bidi="ar"/>
        </w:rPr>
        <w:t>、</w:t>
      </w:r>
      <w:r>
        <w:rPr>
          <w:rFonts w:hint="eastAsia" w:ascii="仿宋_GB2312" w:hAnsi="仿宋_GB2312" w:eastAsia="仿宋_GB2312" w:cs="仿宋_GB2312"/>
          <w:color w:val="auto"/>
          <w:kern w:val="0"/>
          <w:sz w:val="32"/>
          <w:szCs w:val="32"/>
          <w:u w:val="none"/>
          <w:lang w:val="en-US" w:eastAsia="zh-CN" w:bidi="ar"/>
        </w:rPr>
        <w:t>县负责事项等的支出责任；由市级承担市级部门直接组织实施较大地震灾害的调查评估、应急救援救灾等支出责任，</w:t>
      </w:r>
      <w:r>
        <w:rPr>
          <w:rFonts w:hint="eastAsia" w:ascii="仿宋_GB2312" w:hAnsi="仿宋_GB2312" w:cs="仿宋_GB2312"/>
          <w:color w:val="auto"/>
          <w:kern w:val="0"/>
          <w:sz w:val="32"/>
          <w:szCs w:val="32"/>
          <w:u w:val="none"/>
          <w:lang w:val="en-US" w:eastAsia="zh-CN" w:bidi="ar"/>
        </w:rPr>
        <w:t>县（区）</w:t>
      </w:r>
      <w:r>
        <w:rPr>
          <w:rFonts w:hint="eastAsia" w:ascii="仿宋_GB2312" w:hAnsi="仿宋_GB2312" w:eastAsia="仿宋_GB2312" w:cs="仿宋_GB2312"/>
          <w:color w:val="auto"/>
          <w:kern w:val="0"/>
          <w:sz w:val="32"/>
          <w:szCs w:val="32"/>
          <w:u w:val="none"/>
          <w:lang w:val="en-US" w:eastAsia="zh-CN" w:bidi="ar"/>
        </w:rPr>
        <w:t>承担较大地震灾害</w:t>
      </w:r>
      <w:r>
        <w:rPr>
          <w:rFonts w:hint="eastAsia" w:ascii="仿宋_GB2312" w:hAnsi="仿宋_GB2312" w:cs="仿宋_GB2312"/>
          <w:color w:val="auto"/>
          <w:kern w:val="0"/>
          <w:sz w:val="32"/>
          <w:szCs w:val="32"/>
          <w:u w:val="none"/>
          <w:lang w:val="en-US" w:eastAsia="zh-CN" w:bidi="ar"/>
        </w:rPr>
        <w:t>县（区）</w:t>
      </w:r>
      <w:r>
        <w:rPr>
          <w:rFonts w:hint="eastAsia" w:ascii="仿宋_GB2312" w:hAnsi="仿宋_GB2312" w:eastAsia="仿宋_GB2312" w:cs="仿宋_GB2312"/>
          <w:color w:val="auto"/>
          <w:kern w:val="0"/>
          <w:sz w:val="32"/>
          <w:szCs w:val="32"/>
          <w:u w:val="none"/>
          <w:lang w:val="en-US" w:eastAsia="zh-CN" w:bidi="ar"/>
        </w:rPr>
        <w:t>负责事项的支出责任；由</w:t>
      </w:r>
      <w:r>
        <w:rPr>
          <w:rFonts w:hint="eastAsia" w:ascii="仿宋_GB2312" w:hAnsi="仿宋_GB2312" w:cs="仿宋_GB2312"/>
          <w:color w:val="auto"/>
          <w:kern w:val="0"/>
          <w:sz w:val="32"/>
          <w:szCs w:val="32"/>
          <w:u w:val="none"/>
          <w:lang w:val="en-US" w:eastAsia="zh-CN" w:bidi="ar"/>
        </w:rPr>
        <w:t>县（区）</w:t>
      </w:r>
      <w:r>
        <w:rPr>
          <w:rFonts w:hint="eastAsia" w:ascii="仿宋_GB2312" w:hAnsi="仿宋_GB2312" w:eastAsia="仿宋_GB2312" w:cs="仿宋_GB2312"/>
          <w:color w:val="auto"/>
          <w:kern w:val="0"/>
          <w:sz w:val="32"/>
          <w:szCs w:val="32"/>
          <w:u w:val="none"/>
          <w:lang w:val="en-US" w:eastAsia="zh-CN" w:bidi="ar"/>
        </w:rPr>
        <w:t>承担一般地震灾害调查评估、应急救援救灾等的支出责任；调动救援队伍跨行政区域执行救援任务的，由灾害发生地</w:t>
      </w:r>
      <w:r>
        <w:rPr>
          <w:rFonts w:hint="eastAsia" w:ascii="仿宋_GB2312" w:hAnsi="仿宋_GB2312" w:cs="仿宋_GB2312"/>
          <w:color w:val="auto"/>
          <w:kern w:val="0"/>
          <w:sz w:val="32"/>
          <w:szCs w:val="32"/>
          <w:u w:val="none"/>
          <w:lang w:val="en-US" w:eastAsia="zh-CN" w:bidi="ar"/>
        </w:rPr>
        <w:t>县（区）</w:t>
      </w:r>
      <w:r>
        <w:rPr>
          <w:rFonts w:hint="eastAsia" w:ascii="仿宋_GB2312" w:hAnsi="仿宋_GB2312" w:eastAsia="仿宋_GB2312" w:cs="仿宋_GB2312"/>
          <w:color w:val="auto"/>
          <w:kern w:val="0"/>
          <w:sz w:val="32"/>
          <w:szCs w:val="32"/>
          <w:u w:val="none"/>
          <w:lang w:val="en-US" w:eastAsia="zh-CN" w:bidi="ar"/>
        </w:rPr>
        <w:t>承担支出责任。</w:t>
      </w:r>
    </w:p>
    <w:p w14:paraId="1D7CA13C">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1"/>
        <w:rPr>
          <w:rFonts w:hint="eastAsia" w:ascii="楷体_GB2312" w:hAnsi="楷体_GB2312" w:eastAsia="楷体_GB2312" w:cs="楷体_GB2312"/>
          <w:b w:val="0"/>
          <w:bCs w:val="0"/>
          <w:color w:val="auto"/>
          <w:sz w:val="32"/>
          <w:szCs w:val="32"/>
          <w:u w:val="none"/>
        </w:rPr>
      </w:pPr>
      <w:r>
        <w:rPr>
          <w:rFonts w:hint="eastAsia" w:ascii="楷体_GB2312" w:hAnsi="楷体_GB2312" w:eastAsia="楷体_GB2312" w:cs="楷体_GB2312"/>
          <w:b w:val="0"/>
          <w:bCs w:val="0"/>
          <w:color w:val="auto"/>
          <w:sz w:val="32"/>
          <w:szCs w:val="32"/>
          <w:u w:val="none"/>
          <w:lang w:val="en-US" w:eastAsia="zh-CN"/>
        </w:rPr>
        <w:t>4.3 物资保障</w:t>
      </w:r>
    </w:p>
    <w:p w14:paraId="24B4B8DE">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各</w:t>
      </w:r>
      <w:r>
        <w:rPr>
          <w:rFonts w:hint="eastAsia" w:ascii="仿宋_GB2312" w:hAnsi="仿宋_GB2312" w:cs="仿宋_GB2312"/>
          <w:color w:val="auto"/>
          <w:kern w:val="0"/>
          <w:sz w:val="32"/>
          <w:szCs w:val="32"/>
          <w:u w:val="none"/>
          <w:lang w:val="en-US" w:eastAsia="zh-CN" w:bidi="ar"/>
        </w:rPr>
        <w:t>县（区）</w:t>
      </w:r>
      <w:r>
        <w:rPr>
          <w:rFonts w:hint="eastAsia" w:ascii="仿宋_GB2312" w:hAnsi="仿宋_GB2312" w:eastAsia="仿宋_GB2312" w:cs="仿宋_GB2312"/>
          <w:color w:val="auto"/>
          <w:kern w:val="0"/>
          <w:sz w:val="32"/>
          <w:szCs w:val="32"/>
          <w:u w:val="none"/>
          <w:lang w:val="en-US" w:eastAsia="zh-CN" w:bidi="ar"/>
        </w:rPr>
        <w:t>、各有关单位要建立健全应急物资储备网络和生产、调拨及紧急配送体系，保障地震灾害应急工作所需生活救助物资、地震救援和工程抢险装备配备、医疗器械和药品等供应。市、</w:t>
      </w:r>
      <w:r>
        <w:rPr>
          <w:rFonts w:hint="eastAsia" w:ascii="仿宋_GB2312" w:hAnsi="仿宋_GB2312" w:cs="仿宋_GB2312"/>
          <w:color w:val="auto"/>
          <w:kern w:val="0"/>
          <w:sz w:val="32"/>
          <w:szCs w:val="32"/>
          <w:u w:val="none"/>
          <w:lang w:val="en-US" w:eastAsia="zh-CN" w:bidi="ar"/>
        </w:rPr>
        <w:t>县（区）</w:t>
      </w:r>
      <w:r>
        <w:rPr>
          <w:rFonts w:hint="eastAsia" w:ascii="仿宋_GB2312" w:hAnsi="仿宋_GB2312" w:eastAsia="仿宋_GB2312" w:cs="仿宋_GB2312"/>
          <w:color w:val="auto"/>
          <w:kern w:val="0"/>
          <w:sz w:val="32"/>
          <w:szCs w:val="32"/>
          <w:u w:val="none"/>
          <w:lang w:val="en-US" w:eastAsia="zh-CN" w:bidi="ar"/>
        </w:rPr>
        <w:t>有关单位要根据有关法律法规，做好应急物资储备，通过与有关生产经营企业签订协议等方式，保障应急物资、生活必需品和应急处置装备的生产、供给。镇</w:t>
      </w:r>
      <w:r>
        <w:rPr>
          <w:rFonts w:hint="eastAsia" w:ascii="仿宋_GB2312" w:hAnsi="仿宋_GB2312" w:cs="仿宋_GB2312"/>
          <w:color w:val="auto"/>
          <w:kern w:val="0"/>
          <w:sz w:val="32"/>
          <w:szCs w:val="32"/>
          <w:u w:val="none"/>
          <w:lang w:val="en-US" w:eastAsia="zh-CN" w:bidi="ar"/>
        </w:rPr>
        <w:t>、</w:t>
      </w:r>
      <w:r>
        <w:rPr>
          <w:rFonts w:hint="eastAsia" w:ascii="仿宋_GB2312" w:hAnsi="仿宋_GB2312" w:eastAsia="仿宋_GB2312" w:cs="仿宋_GB2312"/>
          <w:color w:val="auto"/>
          <w:kern w:val="0"/>
          <w:sz w:val="32"/>
          <w:szCs w:val="32"/>
          <w:u w:val="none"/>
          <w:lang w:val="en-US" w:eastAsia="zh-CN" w:bidi="ar"/>
        </w:rPr>
        <w:t>村要配备卫星电话、对讲机等必要的通讯装备，并确保通讯畅通有效。</w:t>
      </w:r>
    </w:p>
    <w:p w14:paraId="23258D1F">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1"/>
        <w:rPr>
          <w:rFonts w:hint="eastAsia" w:ascii="楷体_GB2312" w:hAnsi="楷体_GB2312" w:eastAsia="楷体_GB2312" w:cs="楷体_GB2312"/>
          <w:b w:val="0"/>
          <w:bCs w:val="0"/>
          <w:color w:val="auto"/>
          <w:sz w:val="32"/>
          <w:szCs w:val="32"/>
          <w:u w:val="none"/>
        </w:rPr>
      </w:pPr>
      <w:r>
        <w:rPr>
          <w:rFonts w:hint="eastAsia" w:ascii="楷体_GB2312" w:hAnsi="楷体_GB2312" w:eastAsia="楷体_GB2312" w:cs="楷体_GB2312"/>
          <w:b w:val="0"/>
          <w:bCs w:val="0"/>
          <w:color w:val="auto"/>
          <w:sz w:val="32"/>
          <w:szCs w:val="32"/>
          <w:u w:val="none"/>
          <w:lang w:val="en-US" w:eastAsia="zh-CN"/>
        </w:rPr>
        <w:t>4.4 避险场所保障</w:t>
      </w:r>
    </w:p>
    <w:p w14:paraId="1C330897">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县级以上人民政府及有关单位要充分利用广场、绿地、公园、学校、体育场馆等公共设施，因地制宜设立综合性或地震应急避难场所，统筹安排所需的交通、通讯、广播电视、供水、供电、排污、环保、物资储备等设备设施。</w:t>
      </w:r>
    </w:p>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14:paraId="695567EF">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1"/>
        <w:rPr>
          <w:rFonts w:hint="eastAsia" w:ascii="楷体_GB2312" w:hAnsi="楷体_GB2312" w:eastAsia="楷体_GB2312" w:cs="楷体_GB2312"/>
          <w:b w:val="0"/>
          <w:bCs w:val="0"/>
          <w:color w:val="auto"/>
          <w:sz w:val="32"/>
          <w:szCs w:val="32"/>
          <w:u w:val="none"/>
        </w:rPr>
      </w:pPr>
      <w:bookmarkStart w:id="608" w:name="_Toc14134"/>
      <w:bookmarkStart w:id="609" w:name="_Toc28577"/>
      <w:bookmarkStart w:id="610" w:name="_Toc3991"/>
      <w:bookmarkStart w:id="611" w:name="_Toc21144"/>
      <w:bookmarkStart w:id="612" w:name="_Toc12592"/>
      <w:bookmarkStart w:id="613" w:name="_Toc14219"/>
      <w:bookmarkStart w:id="614" w:name="_Toc17807"/>
      <w:bookmarkStart w:id="615" w:name="_Toc7811"/>
      <w:bookmarkStart w:id="616" w:name="_Toc11093"/>
      <w:bookmarkStart w:id="617" w:name="_Toc20881"/>
      <w:bookmarkStart w:id="618" w:name="_Toc18079"/>
      <w:bookmarkStart w:id="619" w:name="_Toc9796"/>
      <w:bookmarkStart w:id="620" w:name="_Toc14458"/>
      <w:bookmarkStart w:id="621" w:name="_Toc32319"/>
      <w:bookmarkStart w:id="622" w:name="_Toc5780"/>
      <w:bookmarkStart w:id="623" w:name="_Toc23965"/>
      <w:bookmarkStart w:id="624" w:name="_Toc10352"/>
      <w:bookmarkStart w:id="625" w:name="_Toc20600"/>
      <w:bookmarkStart w:id="626" w:name="_Toc26007"/>
      <w:bookmarkStart w:id="627" w:name="_Toc5247"/>
      <w:bookmarkStart w:id="628" w:name="_Toc11523"/>
      <w:bookmarkStart w:id="629" w:name="_Toc2682"/>
      <w:bookmarkStart w:id="630" w:name="_Toc20892"/>
      <w:bookmarkStart w:id="631" w:name="_Toc5662"/>
      <w:bookmarkStart w:id="632" w:name="_Toc29717"/>
      <w:bookmarkStart w:id="633" w:name="_Toc25020"/>
      <w:bookmarkStart w:id="634" w:name="_Toc17388"/>
      <w:r>
        <w:rPr>
          <w:rFonts w:hint="eastAsia" w:ascii="楷体_GB2312" w:hAnsi="楷体_GB2312" w:eastAsia="楷体_GB2312" w:cs="楷体_GB2312"/>
          <w:b w:val="0"/>
          <w:bCs w:val="0"/>
          <w:color w:val="auto"/>
          <w:sz w:val="32"/>
          <w:szCs w:val="32"/>
          <w:u w:val="none"/>
          <w:lang w:val="en-US" w:eastAsia="zh-CN"/>
        </w:rPr>
        <w:t>4.5 通讯设施保障</w:t>
      </w:r>
    </w:p>
    <w:p w14:paraId="2116ADC6">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市、</w:t>
      </w:r>
      <w:r>
        <w:rPr>
          <w:rFonts w:hint="eastAsia" w:ascii="仿宋_GB2312" w:hAnsi="仿宋_GB2312" w:cs="仿宋_GB2312"/>
          <w:color w:val="auto"/>
          <w:kern w:val="0"/>
          <w:sz w:val="32"/>
          <w:szCs w:val="32"/>
          <w:u w:val="none"/>
          <w:lang w:val="en-US" w:eastAsia="zh-CN" w:bidi="ar"/>
        </w:rPr>
        <w:t>县（区）</w:t>
      </w:r>
      <w:r>
        <w:rPr>
          <w:rFonts w:hint="eastAsia" w:ascii="仿宋_GB2312" w:hAnsi="仿宋_GB2312" w:eastAsia="仿宋_GB2312" w:cs="仿宋_GB2312"/>
          <w:color w:val="auto"/>
          <w:kern w:val="0"/>
          <w:sz w:val="32"/>
          <w:szCs w:val="32"/>
          <w:u w:val="none"/>
          <w:lang w:val="en-US" w:eastAsia="zh-CN" w:bidi="ar"/>
        </w:rPr>
        <w:t>应急管理部门要建立健全应急指挥通讯保障机制；工业和信息化部门要负责保障应急无线电通讯业务频率的正常使用；电信运营企业（电信、联通、移动、铁塔）要保障地震应急救援期间通讯网络畅通。</w:t>
      </w:r>
    </w:p>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14:paraId="3629C17C">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0"/>
        <w:rPr>
          <w:rFonts w:hint="eastAsia" w:ascii="黑体" w:hAnsi="黑体" w:eastAsia="黑体" w:cs="黑体"/>
          <w:b w:val="0"/>
          <w:bCs w:val="0"/>
          <w:color w:val="auto"/>
          <w:sz w:val="32"/>
          <w:szCs w:val="32"/>
          <w:u w:val="none"/>
        </w:rPr>
      </w:pPr>
      <w:bookmarkStart w:id="635" w:name="_Toc27394"/>
      <w:bookmarkStart w:id="636" w:name="_Toc9269"/>
      <w:bookmarkStart w:id="637" w:name="_Toc6123"/>
      <w:bookmarkStart w:id="638" w:name="_Toc8492"/>
      <w:bookmarkStart w:id="639" w:name="_Toc5329"/>
      <w:bookmarkStart w:id="640" w:name="_Toc17466"/>
      <w:bookmarkStart w:id="641" w:name="_Toc12386"/>
      <w:bookmarkStart w:id="642" w:name="_Toc10424"/>
      <w:bookmarkStart w:id="643" w:name="_Toc14291"/>
      <w:bookmarkStart w:id="644" w:name="_Toc13349"/>
      <w:bookmarkStart w:id="645" w:name="_Toc1496"/>
      <w:bookmarkStart w:id="646" w:name="_Toc25263"/>
      <w:bookmarkStart w:id="647" w:name="_Toc15575"/>
      <w:bookmarkStart w:id="648" w:name="_Toc29499"/>
      <w:bookmarkStart w:id="649" w:name="_Toc6872"/>
      <w:bookmarkStart w:id="650" w:name="_Toc5827"/>
      <w:bookmarkStart w:id="651" w:name="_Toc2944"/>
      <w:bookmarkStart w:id="652" w:name="_Toc20430"/>
      <w:bookmarkStart w:id="653" w:name="_Toc3183"/>
      <w:bookmarkStart w:id="654" w:name="_Toc19199"/>
      <w:bookmarkStart w:id="655" w:name="_Toc10848"/>
      <w:bookmarkStart w:id="656" w:name="_Toc31791"/>
      <w:bookmarkStart w:id="657" w:name="_Toc14168"/>
      <w:bookmarkStart w:id="658" w:name="_Toc11129"/>
      <w:bookmarkStart w:id="659" w:name="_Toc30300"/>
      <w:bookmarkStart w:id="660" w:name="_Toc23502"/>
      <w:bookmarkStart w:id="661" w:name="_Toc23916"/>
      <w:r>
        <w:rPr>
          <w:rFonts w:hint="eastAsia" w:ascii="黑体" w:hAnsi="黑体" w:eastAsia="黑体" w:cs="黑体"/>
          <w:b w:val="0"/>
          <w:bCs w:val="0"/>
          <w:color w:val="auto"/>
          <w:sz w:val="32"/>
          <w:szCs w:val="32"/>
          <w:u w:val="none"/>
          <w:lang w:val="en-US" w:eastAsia="zh-CN"/>
        </w:rPr>
        <w:t>5 监督管理</w:t>
      </w:r>
    </w:p>
    <w:p w14:paraId="59CC25FB">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1"/>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5.1预案执行</w:t>
      </w:r>
    </w:p>
    <w:p w14:paraId="2B76ABA6">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1"/>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本预案由市、县（区）、乡镇（街道）抗震救灾指挥机构及成员单位按照职责分工落实。市抗震救灾指挥部各成员单位负责本行业的地震应急预案、科普宣传教育、安全隐患排查治理等工作，检查、指导各县（区）地震应急准备相关工作。市抗震救灾指挥部办公室不定期组织开展预案落实情况检查，发现问题限期进行整改，整改不到位的按规定进行通报。</w:t>
      </w:r>
    </w:p>
    <w:p w14:paraId="1B60E2E6">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1"/>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5.2 预案演练</w:t>
      </w:r>
    </w:p>
    <w:p w14:paraId="4B0E79AF">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市级抗震救灾应急演练由市应急管理局牵头，会同市抗震救灾指挥部有关成员单位按相关要求组织开展。</w:t>
      </w:r>
    </w:p>
    <w:p w14:paraId="72A546B9">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楷体_GB2312" w:hAnsi="楷体_GB2312" w:eastAsia="楷体_GB2312" w:cs="楷体_GB2312"/>
          <w:color w:val="auto"/>
          <w:kern w:val="0"/>
          <w:sz w:val="32"/>
          <w:szCs w:val="32"/>
          <w:u w:val="none"/>
          <w:lang w:val="en-US" w:eastAsia="zh-CN" w:bidi="ar"/>
        </w:rPr>
      </w:pPr>
      <w:r>
        <w:rPr>
          <w:rFonts w:hint="eastAsia" w:ascii="楷体_GB2312" w:hAnsi="楷体_GB2312" w:eastAsia="楷体_GB2312" w:cs="楷体_GB2312"/>
          <w:b w:val="0"/>
          <w:bCs w:val="0"/>
          <w:color w:val="auto"/>
          <w:sz w:val="32"/>
          <w:szCs w:val="32"/>
          <w:u w:val="none"/>
          <w:lang w:val="en-US" w:eastAsia="zh-CN"/>
        </w:rPr>
        <w:t>5.3 区域合作</w:t>
      </w:r>
    </w:p>
    <w:p w14:paraId="11F1DDFF">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要加强与市外抗震救灾指挥机构的交流合作，建立区域应急救援合作机制，开展合作与交流。</w:t>
      </w:r>
    </w:p>
    <w:p w14:paraId="337CF2C7">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1"/>
        <w:rPr>
          <w:rFonts w:hint="eastAsia" w:ascii="楷体_GB2312" w:hAnsi="楷体_GB2312" w:eastAsia="楷体_GB2312" w:cs="楷体_GB2312"/>
          <w:b w:val="0"/>
          <w:bCs w:val="0"/>
          <w:color w:val="auto"/>
          <w:sz w:val="32"/>
          <w:szCs w:val="32"/>
          <w:u w:val="none"/>
        </w:rPr>
      </w:pPr>
      <w:r>
        <w:rPr>
          <w:rFonts w:hint="eastAsia" w:ascii="楷体_GB2312" w:hAnsi="楷体_GB2312" w:eastAsia="楷体_GB2312" w:cs="楷体_GB2312"/>
          <w:b w:val="0"/>
          <w:bCs w:val="0"/>
          <w:color w:val="auto"/>
          <w:sz w:val="32"/>
          <w:szCs w:val="32"/>
          <w:u w:val="none"/>
          <w:lang w:val="en-US" w:eastAsia="zh-CN"/>
        </w:rPr>
        <w:t>5.4 宣教培训</w:t>
      </w:r>
    </w:p>
    <w:p w14:paraId="6BCAC196">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各</w:t>
      </w:r>
      <w:r>
        <w:rPr>
          <w:rFonts w:hint="eastAsia" w:ascii="仿宋_GB2312" w:hAnsi="仿宋_GB2312" w:cs="仿宋_GB2312"/>
          <w:color w:val="auto"/>
          <w:kern w:val="0"/>
          <w:sz w:val="32"/>
          <w:szCs w:val="32"/>
          <w:u w:val="none"/>
          <w:lang w:val="en-US" w:eastAsia="zh-CN" w:bidi="ar"/>
        </w:rPr>
        <w:t>县（区）</w:t>
      </w:r>
      <w:r>
        <w:rPr>
          <w:rFonts w:hint="eastAsia" w:ascii="仿宋_GB2312" w:hAnsi="仿宋_GB2312" w:eastAsia="仿宋_GB2312" w:cs="仿宋_GB2312"/>
          <w:color w:val="auto"/>
          <w:kern w:val="0"/>
          <w:sz w:val="32"/>
          <w:szCs w:val="32"/>
          <w:u w:val="none"/>
          <w:lang w:val="en-US" w:eastAsia="zh-CN" w:bidi="ar"/>
        </w:rPr>
        <w:t>、各有关单位要充分利用学校、文化站、广播、电视、互联网、报纸等，做好防震减灾科普知识宣传和教育培训，不断提高公众的防震减灾意识和自救互救能力。</w:t>
      </w:r>
    </w:p>
    <w:p w14:paraId="03A8C5C0">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1"/>
        <w:rPr>
          <w:rFonts w:hint="eastAsia" w:ascii="楷体_GB2312" w:hAnsi="楷体_GB2312" w:eastAsia="楷体_GB2312" w:cs="楷体_GB2312"/>
          <w:b w:val="0"/>
          <w:bCs w:val="0"/>
          <w:color w:val="auto"/>
          <w:sz w:val="32"/>
          <w:szCs w:val="32"/>
          <w:u w:val="none"/>
        </w:rPr>
      </w:pPr>
      <w:r>
        <w:rPr>
          <w:rFonts w:hint="eastAsia" w:ascii="楷体_GB2312" w:hAnsi="楷体_GB2312" w:eastAsia="楷体_GB2312" w:cs="楷体_GB2312"/>
          <w:b w:val="0"/>
          <w:bCs w:val="0"/>
          <w:color w:val="auto"/>
          <w:sz w:val="32"/>
          <w:szCs w:val="32"/>
          <w:u w:val="none"/>
          <w:lang w:val="en-US" w:eastAsia="zh-CN"/>
        </w:rPr>
        <w:t>5.5 责任与奖惩</w:t>
      </w:r>
    </w:p>
    <w:p w14:paraId="2A4597A3">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市、</w:t>
      </w:r>
      <w:r>
        <w:rPr>
          <w:rFonts w:hint="eastAsia" w:ascii="仿宋_GB2312" w:hAnsi="仿宋_GB2312" w:cs="仿宋_GB2312"/>
          <w:color w:val="auto"/>
          <w:kern w:val="0"/>
          <w:sz w:val="32"/>
          <w:szCs w:val="32"/>
          <w:u w:val="none"/>
          <w:lang w:val="en-US" w:eastAsia="zh-CN" w:bidi="ar"/>
        </w:rPr>
        <w:t>县（区）</w:t>
      </w:r>
      <w:r>
        <w:rPr>
          <w:rFonts w:hint="eastAsia" w:ascii="仿宋_GB2312" w:hAnsi="仿宋_GB2312" w:eastAsia="仿宋_GB2312" w:cs="仿宋_GB2312"/>
          <w:color w:val="auto"/>
          <w:kern w:val="0"/>
          <w:sz w:val="32"/>
          <w:szCs w:val="32"/>
          <w:u w:val="none"/>
          <w:lang w:val="en-US" w:eastAsia="zh-CN" w:bidi="ar"/>
        </w:rPr>
        <w:t>对在抗震救灾工作中作出突出贡献的先进集体和个人给予表彰和奖励。对玩忽职守、失职、渎职的有关责任人，要依规严肃追究责任。构成犯罪的，依法追究刑事责任。</w:t>
      </w:r>
    </w:p>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14:paraId="04C79BF7">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0"/>
        <w:rPr>
          <w:rFonts w:hint="eastAsia" w:ascii="黑体" w:hAnsi="黑体" w:eastAsia="黑体" w:cs="黑体"/>
          <w:b w:val="0"/>
          <w:bCs w:val="0"/>
          <w:color w:val="auto"/>
          <w:sz w:val="32"/>
          <w:szCs w:val="32"/>
          <w:u w:val="none"/>
        </w:rPr>
      </w:pPr>
      <w:bookmarkStart w:id="662" w:name="_Toc31078"/>
      <w:bookmarkStart w:id="663" w:name="_Toc17203"/>
      <w:bookmarkStart w:id="664" w:name="_Toc14880"/>
      <w:bookmarkStart w:id="665" w:name="_Toc26026"/>
      <w:bookmarkStart w:id="666" w:name="_Toc17564"/>
      <w:bookmarkStart w:id="667" w:name="_Toc24822"/>
      <w:bookmarkStart w:id="668" w:name="_Toc18351"/>
      <w:bookmarkStart w:id="669" w:name="_Toc10946"/>
      <w:bookmarkStart w:id="670" w:name="_Toc28329"/>
      <w:bookmarkStart w:id="671" w:name="_Toc3949"/>
      <w:bookmarkStart w:id="672" w:name="_Toc31691"/>
      <w:bookmarkStart w:id="673" w:name="_Toc29493"/>
      <w:bookmarkStart w:id="674" w:name="_Toc1694"/>
      <w:bookmarkStart w:id="675" w:name="_Toc2568"/>
      <w:bookmarkStart w:id="676" w:name="_Toc9160"/>
      <w:bookmarkStart w:id="677" w:name="_Toc26258"/>
      <w:bookmarkStart w:id="678" w:name="_Toc21779"/>
      <w:bookmarkStart w:id="679" w:name="_Toc23478"/>
      <w:bookmarkStart w:id="680" w:name="_Toc4821"/>
      <w:bookmarkStart w:id="681" w:name="_Toc18890"/>
      <w:bookmarkStart w:id="682" w:name="_Toc22249"/>
      <w:bookmarkStart w:id="683" w:name="_Toc24579"/>
      <w:bookmarkStart w:id="684" w:name="_Toc5945"/>
      <w:bookmarkStart w:id="685" w:name="_Toc12365"/>
      <w:bookmarkStart w:id="686" w:name="_Toc28579"/>
      <w:bookmarkStart w:id="687" w:name="_Toc18967"/>
      <w:bookmarkStart w:id="688" w:name="_Toc7980"/>
      <w:r>
        <w:rPr>
          <w:rFonts w:hint="eastAsia" w:ascii="黑体" w:hAnsi="黑体" w:eastAsia="黑体" w:cs="黑体"/>
          <w:b w:val="0"/>
          <w:bCs w:val="0"/>
          <w:color w:val="auto"/>
          <w:sz w:val="32"/>
          <w:szCs w:val="32"/>
          <w:u w:val="none"/>
          <w:lang w:val="en-US" w:eastAsia="zh-CN"/>
        </w:rPr>
        <w:t>6 附则</w:t>
      </w:r>
    </w:p>
    <w:p w14:paraId="43CF56EA">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1"/>
        <w:rPr>
          <w:rFonts w:hint="eastAsia" w:ascii="楷体_GB2312" w:hAnsi="楷体_GB2312" w:eastAsia="楷体_GB2312" w:cs="楷体_GB2312"/>
          <w:b w:val="0"/>
          <w:bCs w:val="0"/>
          <w:color w:val="auto"/>
          <w:sz w:val="32"/>
          <w:szCs w:val="32"/>
          <w:u w:val="none"/>
        </w:rPr>
      </w:pPr>
      <w:r>
        <w:rPr>
          <w:rFonts w:hint="eastAsia" w:ascii="楷体_GB2312" w:hAnsi="楷体_GB2312" w:eastAsia="楷体_GB2312" w:cs="楷体_GB2312"/>
          <w:b w:val="0"/>
          <w:bCs w:val="0"/>
          <w:color w:val="auto"/>
          <w:sz w:val="32"/>
          <w:szCs w:val="32"/>
          <w:u w:val="none"/>
          <w:lang w:val="en-US" w:eastAsia="zh-CN"/>
        </w:rPr>
        <w:t>6.1 名词术语</w:t>
      </w:r>
    </w:p>
    <w:p w14:paraId="23659829">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（1）本预案有关数量的表述中，“以上”含本数，“以下”不含本数。</w:t>
      </w:r>
    </w:p>
    <w:p w14:paraId="40B09AE6">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（2）次生灾害是指地震造成工程结构、设施和自然环境破坏而引发的灾害。如火灾、爆炸、瘟疫、有毒有害物质污染以及水灾、地质灾害等对居民生产、生活的破坏。</w:t>
      </w:r>
    </w:p>
    <w:p w14:paraId="4503114B">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（3）本预案所称地质灾害是指地震引发的危害人民生命和财产安全的山体崩塌、滑坡、泥石流、地面塌陷、地裂缝、地面沉降等与地质作用有关的灾害。</w:t>
      </w:r>
    </w:p>
    <w:p w14:paraId="2CABB66A">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（4）生命线工程设施是指供电、供水、排水、燃气、热力、供油系统以及通讯、交通等公用设施。</w:t>
      </w:r>
    </w:p>
    <w:p w14:paraId="1FDF1758">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5）直接经济损失是指地震以及地震次生灾害造成的物质破坏，包括房屋等建筑物和其他工程结构、设施、设备、财物等破坏而引起的经济损失，以重置所需费用计算。不包括文物古迹和非实物财产，如货币、有价证券等损失。场地和文物古迹破坏不折算为经济损失，只描述破坏状态。</w:t>
      </w:r>
    </w:p>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14:paraId="02F049E8">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1"/>
        <w:rPr>
          <w:rFonts w:hint="eastAsia" w:ascii="楷体_GB2312" w:hAnsi="楷体_GB2312" w:eastAsia="楷体_GB2312" w:cs="楷体_GB2312"/>
          <w:b w:val="0"/>
          <w:bCs w:val="0"/>
          <w:color w:val="auto"/>
          <w:sz w:val="32"/>
          <w:szCs w:val="32"/>
          <w:u w:val="none"/>
          <w:lang w:val="en-US" w:eastAsia="zh-CN"/>
        </w:rPr>
      </w:pPr>
      <w:bookmarkStart w:id="689" w:name="_Toc19862"/>
      <w:bookmarkStart w:id="690" w:name="_Toc10384"/>
      <w:bookmarkStart w:id="691" w:name="_Toc24"/>
      <w:bookmarkStart w:id="692" w:name="_Toc27743"/>
      <w:bookmarkStart w:id="693" w:name="_Toc25032"/>
      <w:bookmarkStart w:id="694" w:name="_Toc16041"/>
      <w:bookmarkStart w:id="695" w:name="_Toc1315"/>
      <w:bookmarkStart w:id="696" w:name="_Toc13392"/>
      <w:bookmarkStart w:id="697" w:name="_Toc766"/>
      <w:bookmarkStart w:id="698" w:name="_Toc21221"/>
      <w:bookmarkStart w:id="699" w:name="_Toc7101"/>
      <w:bookmarkStart w:id="700" w:name="_Toc23468"/>
      <w:bookmarkStart w:id="701" w:name="_Toc31512"/>
      <w:bookmarkStart w:id="702" w:name="_Toc10998"/>
      <w:bookmarkStart w:id="703" w:name="_Toc27116"/>
      <w:bookmarkStart w:id="704" w:name="_Toc4621"/>
      <w:bookmarkStart w:id="705" w:name="_Toc19981"/>
      <w:bookmarkStart w:id="706" w:name="_Toc22617"/>
      <w:bookmarkStart w:id="707" w:name="_Toc15621"/>
      <w:bookmarkStart w:id="708" w:name="_Toc26394"/>
      <w:bookmarkStart w:id="709" w:name="_Toc15000"/>
      <w:bookmarkStart w:id="710" w:name="_Toc17649"/>
      <w:bookmarkStart w:id="711" w:name="_Toc681"/>
      <w:bookmarkStart w:id="712" w:name="_Toc14075"/>
      <w:bookmarkStart w:id="713" w:name="_Toc23544"/>
      <w:bookmarkStart w:id="714" w:name="_Toc4641"/>
      <w:bookmarkStart w:id="715" w:name="_Toc27585"/>
      <w:bookmarkStart w:id="716" w:name="_Toc8193"/>
      <w:r>
        <w:rPr>
          <w:rFonts w:hint="eastAsia" w:ascii="楷体_GB2312" w:hAnsi="楷体_GB2312" w:eastAsia="楷体_GB2312" w:cs="楷体_GB2312"/>
          <w:b w:val="0"/>
          <w:bCs w:val="0"/>
          <w:color w:val="auto"/>
          <w:sz w:val="32"/>
          <w:szCs w:val="32"/>
          <w:u w:val="none"/>
          <w:lang w:val="en-US" w:eastAsia="zh-CN"/>
        </w:rPr>
        <w:t>6.2 预案管理</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06553E0C">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本预案由市应急管理局会同有关部门、单位组织制订，报市人民政府批准后印发实施。</w:t>
      </w:r>
    </w:p>
    <w:p w14:paraId="1F6A4560">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1"/>
        <w:rPr>
          <w:rFonts w:hint="eastAsia" w:ascii="楷体_GB2312" w:hAnsi="楷体_GB2312" w:eastAsia="楷体_GB2312" w:cs="楷体_GB2312"/>
          <w:b w:val="0"/>
          <w:bCs w:val="0"/>
          <w:color w:val="auto"/>
          <w:sz w:val="32"/>
          <w:szCs w:val="32"/>
          <w:u w:val="none"/>
          <w:lang w:val="en-US" w:eastAsia="zh-CN"/>
        </w:rPr>
      </w:pPr>
      <w:bookmarkStart w:id="717" w:name="_Toc25108"/>
      <w:bookmarkStart w:id="718" w:name="_Toc16737"/>
      <w:bookmarkStart w:id="719" w:name="_Toc11987"/>
      <w:bookmarkStart w:id="720" w:name="_Toc8044"/>
      <w:bookmarkStart w:id="721" w:name="_Toc17617"/>
      <w:bookmarkStart w:id="722" w:name="_Toc6857"/>
      <w:bookmarkStart w:id="723" w:name="_Toc18436"/>
      <w:bookmarkStart w:id="724" w:name="_Toc9021"/>
      <w:bookmarkStart w:id="725" w:name="_Toc30107"/>
      <w:bookmarkStart w:id="726" w:name="_Toc19414"/>
      <w:bookmarkStart w:id="727" w:name="_Toc30685"/>
      <w:bookmarkStart w:id="728" w:name="_Toc2343"/>
      <w:bookmarkStart w:id="729" w:name="_Toc28212"/>
      <w:bookmarkStart w:id="730" w:name="_Toc10017"/>
      <w:bookmarkStart w:id="731" w:name="_Toc5313"/>
      <w:bookmarkStart w:id="732" w:name="_Toc14476"/>
      <w:bookmarkStart w:id="733" w:name="_Toc31349"/>
      <w:bookmarkStart w:id="734" w:name="_Toc28909"/>
      <w:bookmarkStart w:id="735" w:name="_Toc18282"/>
      <w:bookmarkStart w:id="736" w:name="_Toc3911"/>
      <w:bookmarkStart w:id="737" w:name="_Toc3169"/>
      <w:bookmarkStart w:id="738" w:name="_Toc30534"/>
      <w:bookmarkStart w:id="739" w:name="_Toc30966"/>
      <w:bookmarkStart w:id="740" w:name="_Toc12071"/>
      <w:bookmarkStart w:id="741" w:name="_Toc20368"/>
      <w:bookmarkStart w:id="742" w:name="_Toc26244"/>
      <w:bookmarkStart w:id="743" w:name="_Toc31813"/>
      <w:r>
        <w:rPr>
          <w:rFonts w:hint="eastAsia" w:ascii="楷体_GB2312" w:hAnsi="楷体_GB2312" w:eastAsia="楷体_GB2312" w:cs="楷体_GB2312"/>
          <w:b w:val="0"/>
          <w:bCs w:val="0"/>
          <w:color w:val="auto"/>
          <w:sz w:val="32"/>
          <w:szCs w:val="32"/>
          <w:u w:val="none"/>
          <w:lang w:val="en-US" w:eastAsia="zh-CN"/>
        </w:rPr>
        <w:t>6.3 预案</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r>
        <w:rPr>
          <w:rFonts w:hint="eastAsia" w:ascii="楷体_GB2312" w:hAnsi="楷体_GB2312" w:eastAsia="楷体_GB2312" w:cs="楷体_GB2312"/>
          <w:b w:val="0"/>
          <w:bCs w:val="0"/>
          <w:color w:val="auto"/>
          <w:sz w:val="32"/>
          <w:szCs w:val="32"/>
          <w:u w:val="none"/>
          <w:lang w:val="en-US" w:eastAsia="zh-CN"/>
        </w:rPr>
        <w:t>衔接</w:t>
      </w:r>
    </w:p>
    <w:p w14:paraId="1522A458">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cs="仿宋_GB2312"/>
          <w:color w:val="auto"/>
          <w:kern w:val="0"/>
          <w:sz w:val="32"/>
          <w:szCs w:val="32"/>
          <w:u w:val="none"/>
          <w:lang w:val="en-US" w:eastAsia="zh-CN" w:bidi="ar"/>
        </w:rPr>
        <w:t>各</w:t>
      </w:r>
      <w:r>
        <w:rPr>
          <w:rFonts w:hint="eastAsia" w:ascii="仿宋_GB2312" w:hAnsi="仿宋_GB2312" w:eastAsia="仿宋_GB2312" w:cs="仿宋_GB2312"/>
          <w:color w:val="auto"/>
          <w:kern w:val="0"/>
          <w:sz w:val="32"/>
          <w:szCs w:val="32"/>
          <w:u w:val="none"/>
          <w:lang w:val="en-US" w:eastAsia="zh-CN" w:bidi="ar"/>
        </w:rPr>
        <w:t>县（区）人民政府（管委会）制定本行政区域地震应急预案，报上级人民政府应急管理部门备案。有关主管部门、单位要按照本预案规定认真履行职责，并结合实际制定本部门、本单位的地震应急预案，报同级应急管理部门备案。</w:t>
      </w:r>
    </w:p>
    <w:p w14:paraId="68649BE3">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1"/>
        <w:rPr>
          <w:rFonts w:hint="eastAsia" w:ascii="楷体_GB2312" w:hAnsi="楷体_GB2312" w:eastAsia="楷体_GB2312" w:cs="楷体_GB2312"/>
          <w:b w:val="0"/>
          <w:bCs w:val="0"/>
          <w:color w:val="auto"/>
          <w:sz w:val="32"/>
          <w:szCs w:val="32"/>
          <w:u w:val="none"/>
        </w:rPr>
      </w:pPr>
      <w:bookmarkStart w:id="744" w:name="_Toc17233"/>
      <w:bookmarkStart w:id="745" w:name="_Toc15160"/>
      <w:bookmarkStart w:id="746" w:name="_Toc18672"/>
      <w:bookmarkStart w:id="747" w:name="_Toc2580"/>
      <w:bookmarkStart w:id="748" w:name="_Toc3655"/>
      <w:bookmarkStart w:id="749" w:name="_Toc20210"/>
      <w:bookmarkStart w:id="750" w:name="_Toc4500"/>
      <w:bookmarkStart w:id="751" w:name="_Toc1269"/>
      <w:bookmarkStart w:id="752" w:name="_Toc4210"/>
      <w:bookmarkStart w:id="753" w:name="_Toc25173"/>
      <w:bookmarkStart w:id="754" w:name="_Toc1407"/>
      <w:bookmarkStart w:id="755" w:name="_Toc8532"/>
      <w:bookmarkStart w:id="756" w:name="_Toc12787"/>
      <w:bookmarkStart w:id="757" w:name="_Toc22679"/>
      <w:bookmarkStart w:id="758" w:name="_Toc30915"/>
      <w:bookmarkStart w:id="759" w:name="_Toc27588"/>
      <w:bookmarkStart w:id="760" w:name="_Toc10578"/>
      <w:bookmarkStart w:id="761" w:name="_Toc27793"/>
      <w:bookmarkStart w:id="762" w:name="_Toc23782"/>
      <w:bookmarkStart w:id="763" w:name="_Toc1451"/>
      <w:bookmarkStart w:id="764" w:name="_Toc20370"/>
      <w:bookmarkStart w:id="765" w:name="_Toc3128"/>
      <w:bookmarkStart w:id="766" w:name="_Toc3951"/>
      <w:bookmarkStart w:id="767" w:name="_Toc19255"/>
      <w:bookmarkStart w:id="768" w:name="_Toc23820"/>
      <w:bookmarkStart w:id="769" w:name="_Toc19649"/>
      <w:bookmarkStart w:id="770" w:name="_Toc16972"/>
      <w:bookmarkStart w:id="771" w:name="_Toc12358"/>
      <w:r>
        <w:rPr>
          <w:rFonts w:hint="eastAsia" w:ascii="楷体_GB2312" w:hAnsi="楷体_GB2312" w:eastAsia="楷体_GB2312" w:cs="楷体_GB2312"/>
          <w:b w:val="0"/>
          <w:bCs w:val="0"/>
          <w:color w:val="auto"/>
          <w:sz w:val="32"/>
          <w:szCs w:val="32"/>
          <w:u w:val="none"/>
          <w:lang w:val="en-US" w:eastAsia="zh-CN"/>
        </w:rPr>
        <w:t>6.4 预案解释</w:t>
      </w:r>
    </w:p>
    <w:p w14:paraId="7C9EB2B7">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本预案由市抗震救灾指挥部办公室负责解释。</w:t>
      </w:r>
    </w:p>
    <w:p w14:paraId="488B03B1">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1"/>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6.5 预案实施时间</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00380BC1">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本预案自发布之日起实施。2021年市政府办公室印发的《河源市地震应急预案》（河府办函〔2021〕41号）同时废止。</w:t>
      </w:r>
    </w:p>
    <w:p w14:paraId="6317BE02">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p>
    <w:p w14:paraId="1C76FB9B">
      <w:pPr>
        <w:keepNext w:val="0"/>
        <w:keepLines w:val="0"/>
        <w:pageBreakBefore w:val="0"/>
        <w:widowControl w:val="0"/>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附件：1.市抗震救灾指挥部成员单位职责</w:t>
      </w:r>
    </w:p>
    <w:p w14:paraId="5F7E10A5">
      <w:pPr>
        <w:keepNext w:val="0"/>
        <w:keepLines w:val="0"/>
        <w:pageBreakBefore w:val="0"/>
        <w:widowControl w:val="0"/>
        <w:suppressLineNumbers w:val="0"/>
        <w:kinsoku/>
        <w:wordWrap/>
        <w:overflowPunct/>
        <w:topLinePunct w:val="0"/>
        <w:autoSpaceDE/>
        <w:autoSpaceDN/>
        <w:bidi w:val="0"/>
        <w:adjustRightInd/>
        <w:snapToGrid/>
        <w:spacing w:line="600" w:lineRule="exact"/>
        <w:ind w:firstLine="1580" w:firstLineChars="500"/>
        <w:jc w:val="both"/>
        <w:textAlignment w:val="auto"/>
        <w:rPr>
          <w:rFonts w:hint="eastAsia" w:ascii="仿宋_GB2312" w:hAnsi="仿宋_GB2312" w:eastAsia="仿宋_GB2312" w:cs="仿宋_GB2312"/>
          <w:color w:val="auto"/>
          <w:kern w:val="0"/>
          <w:sz w:val="32"/>
          <w:szCs w:val="32"/>
          <w:u w:val="none"/>
          <w:lang w:val="en-US" w:eastAsia="zh-CN" w:bidi="ar"/>
        </w:rPr>
      </w:pPr>
      <w:bookmarkStart w:id="772" w:name="_Toc19886"/>
      <w:bookmarkStart w:id="773" w:name="_Toc24022"/>
      <w:bookmarkStart w:id="774" w:name="_Toc9128"/>
      <w:bookmarkStart w:id="775" w:name="_Toc9358"/>
      <w:r>
        <w:rPr>
          <w:rFonts w:hint="eastAsia" w:ascii="仿宋_GB2312" w:hAnsi="仿宋_GB2312" w:eastAsia="仿宋_GB2312" w:cs="仿宋_GB2312"/>
          <w:color w:val="auto"/>
          <w:kern w:val="0"/>
          <w:sz w:val="32"/>
          <w:szCs w:val="32"/>
          <w:u w:val="none"/>
          <w:lang w:val="en-US" w:eastAsia="zh-CN" w:bidi="ar"/>
        </w:rPr>
        <w:t>2.市抗震救灾指挥部工作组职责</w:t>
      </w:r>
    </w:p>
    <w:bookmarkEnd w:id="772"/>
    <w:bookmarkEnd w:id="773"/>
    <w:bookmarkEnd w:id="774"/>
    <w:bookmarkEnd w:id="775"/>
    <w:p w14:paraId="51646844">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b w:val="0"/>
          <w:bCs w:val="0"/>
          <w:color w:val="auto"/>
          <w:sz w:val="32"/>
          <w:szCs w:val="32"/>
          <w:u w:val="none"/>
          <w:lang w:val="en-US" w:eastAsia="zh-CN"/>
        </w:rPr>
      </w:pPr>
      <w:bookmarkStart w:id="776" w:name="_Toc2573"/>
      <w:bookmarkStart w:id="777" w:name="_Toc7367"/>
    </w:p>
    <w:p w14:paraId="00FCB3C2">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b w:val="0"/>
          <w:bCs w:val="0"/>
          <w:color w:val="auto"/>
          <w:sz w:val="32"/>
          <w:szCs w:val="32"/>
          <w:u w:val="none"/>
          <w:lang w:val="en-US" w:eastAsia="zh-CN"/>
        </w:rPr>
      </w:pPr>
    </w:p>
    <w:p w14:paraId="310FC4E4">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b w:val="0"/>
          <w:bCs w:val="0"/>
          <w:color w:val="auto"/>
          <w:sz w:val="32"/>
          <w:szCs w:val="32"/>
          <w:u w:val="none"/>
          <w:lang w:val="en-US" w:eastAsia="zh-CN"/>
        </w:rPr>
      </w:pPr>
    </w:p>
    <w:p w14:paraId="6488BB57">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default"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附件1</w:t>
      </w:r>
    </w:p>
    <w:p w14:paraId="7A026B08">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简体" w:cs="Times New Roman"/>
          <w:b w:val="0"/>
          <w:bCs w:val="0"/>
          <w:color w:val="auto"/>
          <w:sz w:val="44"/>
          <w:szCs w:val="44"/>
          <w:u w:val="none"/>
          <w:lang w:val="en-US" w:eastAsia="zh-CN"/>
        </w:rPr>
      </w:pPr>
    </w:p>
    <w:bookmarkEnd w:id="776"/>
    <w:bookmarkEnd w:id="777"/>
    <w:p w14:paraId="57B748BF">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val="0"/>
          <w:bCs w:val="0"/>
          <w:color w:val="auto"/>
          <w:sz w:val="44"/>
          <w:szCs w:val="44"/>
          <w:u w:val="none"/>
          <w:lang w:val="en-US" w:eastAsia="zh-CN"/>
        </w:rPr>
      </w:pPr>
      <w:bookmarkStart w:id="778" w:name="_Toc14674"/>
      <w:bookmarkStart w:id="779" w:name="_Toc18046"/>
      <w:bookmarkStart w:id="780" w:name="_Toc9820"/>
      <w:bookmarkStart w:id="781" w:name="_Toc1675"/>
      <w:bookmarkStart w:id="782" w:name="_Toc23709"/>
      <w:bookmarkStart w:id="783" w:name="_Toc138"/>
      <w:bookmarkStart w:id="784" w:name="_Toc8096"/>
      <w:bookmarkStart w:id="785" w:name="_Toc23988"/>
      <w:bookmarkStart w:id="786" w:name="_Toc23489"/>
      <w:bookmarkStart w:id="787" w:name="_Toc23807"/>
      <w:bookmarkStart w:id="788" w:name="_Toc28597"/>
      <w:bookmarkStart w:id="789" w:name="_Toc31480"/>
      <w:bookmarkStart w:id="790" w:name="_Toc2924"/>
      <w:bookmarkStart w:id="791" w:name="_Toc5639"/>
      <w:bookmarkStart w:id="792" w:name="_Toc14418"/>
      <w:bookmarkStart w:id="793" w:name="_Toc30612"/>
      <w:bookmarkStart w:id="794" w:name="_Toc5182"/>
      <w:bookmarkStart w:id="795" w:name="_Toc17554"/>
      <w:r>
        <w:rPr>
          <w:rFonts w:hint="eastAsia" w:ascii="方正小标宋简体" w:hAnsi="方正小标宋简体" w:eastAsia="方正小标宋简体" w:cs="方正小标宋简体"/>
          <w:b w:val="0"/>
          <w:bCs w:val="0"/>
          <w:color w:val="auto"/>
          <w:sz w:val="44"/>
          <w:szCs w:val="44"/>
          <w:u w:val="none"/>
          <w:lang w:val="en-US" w:eastAsia="zh-CN"/>
        </w:rPr>
        <w:t>市抗震救灾指挥部成员单位职责</w:t>
      </w:r>
    </w:p>
    <w:p w14:paraId="090F78AF">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jc w:val="both"/>
        <w:textAlignment w:val="auto"/>
        <w:rPr>
          <w:rFonts w:hint="eastAsia" w:ascii="仿宋_GB2312" w:hAnsi="仿宋_GB2312" w:eastAsia="仿宋_GB2312" w:cs="仿宋_GB2312"/>
          <w:b w:val="0"/>
          <w:bCs w:val="0"/>
          <w:color w:val="auto"/>
          <w:sz w:val="32"/>
          <w:szCs w:val="32"/>
          <w:u w:val="none"/>
          <w:lang w:val="en-US" w:eastAsia="zh-CN"/>
        </w:rPr>
      </w:pPr>
    </w:p>
    <w:p w14:paraId="7F0352F5">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市抗震救灾指挥部成员单位应按市抗震救灾指挥部统一部署和分工安排，各司其职，各负其责，密切合作，确保完成各项工作任务。职责具体如下：</w:t>
      </w:r>
    </w:p>
    <w:p w14:paraId="77BFDFEB">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 xml:space="preserve">1.市委宣传部：负责地震应急宣传报道的协调工作。适时组织召开新闻发布会，发布地震灾情和救灾信息，组织新闻媒体做好救灾宣传报道；负责网上有关抗震救灾舆论的引导和管控，承担网络舆情监测、收集、研判和信息报送等工作。 </w:t>
      </w:r>
    </w:p>
    <w:p w14:paraId="1E6F02B7">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2.市发展改革局：保障灾区粮食市场供应，依指令组织市级救灾物资调拨工作；依职责参与能源应急保障工作；负责主管石油天然气管道保护工作（城镇燃气管道和炼油、化工等企业厂区管道除外）；协助争取中央、省预算内投资资金支持；组织协调灾区政府及有关部门编制重特大地震灾害灾后恢复重建规划。</w:t>
      </w:r>
    </w:p>
    <w:p w14:paraId="6AAF3767">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3.市教育局：负责</w:t>
      </w:r>
      <w:r>
        <w:rPr>
          <w:rFonts w:hint="eastAsia" w:ascii="仿宋_GB2312" w:hAnsi="仿宋_GB2312" w:eastAsia="仿宋_GB2312" w:cs="仿宋_GB2312"/>
          <w:b w:val="0"/>
          <w:bCs w:val="0"/>
          <w:color w:val="auto"/>
          <w:sz w:val="32"/>
          <w:szCs w:val="32"/>
          <w:u w:val="none"/>
          <w:lang w:eastAsia="zh-CN"/>
        </w:rPr>
        <w:t>组织</w:t>
      </w:r>
      <w:r>
        <w:rPr>
          <w:rFonts w:hint="eastAsia" w:ascii="仿宋_GB2312" w:hAnsi="仿宋_GB2312" w:eastAsia="仿宋_GB2312" w:cs="仿宋_GB2312"/>
          <w:b w:val="0"/>
          <w:bCs w:val="0"/>
          <w:color w:val="auto"/>
          <w:sz w:val="32"/>
          <w:szCs w:val="32"/>
          <w:u w:val="none"/>
        </w:rPr>
        <w:t>指导</w:t>
      </w:r>
      <w:r>
        <w:rPr>
          <w:rFonts w:hint="eastAsia" w:ascii="仿宋_GB2312" w:hAnsi="仿宋_GB2312" w:cs="仿宋_GB2312"/>
          <w:b w:val="0"/>
          <w:bCs w:val="0"/>
          <w:color w:val="auto"/>
          <w:sz w:val="32"/>
          <w:szCs w:val="32"/>
          <w:u w:val="none"/>
          <w:lang w:eastAsia="zh-CN"/>
        </w:rPr>
        <w:t>县（区）</w:t>
      </w:r>
      <w:r>
        <w:rPr>
          <w:rFonts w:hint="eastAsia" w:ascii="仿宋_GB2312" w:hAnsi="仿宋_GB2312" w:eastAsia="仿宋_GB2312" w:cs="仿宋_GB2312"/>
          <w:b w:val="0"/>
          <w:bCs w:val="0"/>
          <w:color w:val="auto"/>
          <w:sz w:val="32"/>
          <w:szCs w:val="32"/>
          <w:u w:val="none"/>
        </w:rPr>
        <w:t>教育主管部门和市直中小学（含中职学校，不含技校，下同）</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幼儿园</w:t>
      </w:r>
      <w:r>
        <w:rPr>
          <w:rFonts w:hint="eastAsia" w:ascii="仿宋_GB2312" w:hAnsi="仿宋_GB2312" w:eastAsia="仿宋_GB2312" w:cs="仿宋_GB2312"/>
          <w:color w:val="auto"/>
          <w:kern w:val="0"/>
          <w:sz w:val="32"/>
          <w:szCs w:val="32"/>
          <w:u w:val="none"/>
          <w:lang w:val="en-US" w:eastAsia="zh-CN" w:bidi="ar"/>
        </w:rPr>
        <w:t>做好校舍和附属设施安全隐患排查、监测和治理工作；</w:t>
      </w:r>
      <w:r>
        <w:rPr>
          <w:rFonts w:hint="eastAsia" w:ascii="仿宋_GB2312" w:hAnsi="仿宋_GB2312" w:cs="仿宋_GB2312"/>
          <w:color w:val="auto"/>
          <w:kern w:val="0"/>
          <w:sz w:val="32"/>
          <w:szCs w:val="32"/>
          <w:u w:val="none"/>
          <w:lang w:val="en-US" w:eastAsia="zh-CN" w:bidi="ar"/>
        </w:rPr>
        <w:t>负责</w:t>
      </w:r>
      <w:r>
        <w:rPr>
          <w:rFonts w:hint="eastAsia" w:ascii="仿宋_GB2312" w:hAnsi="仿宋_GB2312" w:eastAsia="仿宋_GB2312" w:cs="仿宋_GB2312"/>
          <w:color w:val="auto"/>
          <w:kern w:val="0"/>
          <w:sz w:val="32"/>
          <w:szCs w:val="32"/>
          <w:u w:val="none"/>
          <w:lang w:val="en-US" w:eastAsia="zh-CN" w:bidi="ar"/>
        </w:rPr>
        <w:t>地震灾害发生时在校师生安全管理和组织疏散；妥善解决灾区学生就学问题；开展学生防震减灾应急知识宣传教育工作。</w:t>
      </w:r>
    </w:p>
    <w:p w14:paraId="2212FFB1">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4.市工业和信息化局：保障各级人民政府、有关单位与地震灾区之间应急无线电通讯业务频率的正常使用，指导、协助灾区政府及有关部门编制灾后恢复重建规划。</w:t>
      </w:r>
    </w:p>
    <w:p w14:paraId="405CCB51">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5.市公安局：负责组织、指挥、协调各级公安机关参与抢险救灾，配合当地人民政府组织转移受灾群众；组织维护灾区社会治安，实施灾区交通疏导，依法打击灾区违法犯罪活动，有效预防和妥善处置地震灾害引发的群体性事件；做好交通信号系统、监控设备和附属设施的险情排查、监测和治理工作。</w:t>
      </w:r>
    </w:p>
    <w:p w14:paraId="25529DA0">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6.市民政局：负责组织指导民政服务机构的地震灾害应急处置工作；做好</w:t>
      </w:r>
      <w:r>
        <w:rPr>
          <w:rFonts w:hint="eastAsia" w:ascii="仿宋_GB2312" w:hAnsi="仿宋_GB2312" w:eastAsia="仿宋_GB2312" w:cs="仿宋_GB2312"/>
          <w:b w:val="0"/>
          <w:bCs w:val="0"/>
          <w:color w:val="auto"/>
          <w:sz w:val="32"/>
          <w:szCs w:val="32"/>
          <w:u w:val="none"/>
          <w:lang w:val="en-US" w:eastAsia="zh-CN"/>
        </w:rPr>
        <w:t>因灾致贫、致残及因灾成孤等人员的救助保障工作；</w:t>
      </w:r>
      <w:r>
        <w:rPr>
          <w:rFonts w:hint="eastAsia" w:ascii="仿宋_GB2312" w:hAnsi="仿宋_GB2312" w:eastAsia="仿宋_GB2312" w:cs="仿宋_GB2312"/>
          <w:b w:val="0"/>
          <w:bCs w:val="0"/>
          <w:color w:val="auto"/>
          <w:sz w:val="32"/>
          <w:szCs w:val="32"/>
          <w:u w:val="none"/>
          <w:lang w:eastAsia="zh-CN"/>
        </w:rPr>
        <w:t>督促、指导</w:t>
      </w:r>
      <w:r>
        <w:rPr>
          <w:rFonts w:hint="eastAsia" w:ascii="仿宋_GB2312" w:hAnsi="仿宋_GB2312" w:eastAsia="仿宋_GB2312" w:cs="仿宋_GB2312"/>
          <w:b w:val="0"/>
          <w:bCs w:val="0"/>
          <w:color w:val="auto"/>
          <w:sz w:val="32"/>
          <w:szCs w:val="32"/>
          <w:u w:val="none"/>
          <w:lang w:val="en-US" w:eastAsia="zh-CN"/>
        </w:rPr>
        <w:t>养老院、福利院等社会福利机构做好地震安全管理</w:t>
      </w:r>
      <w:r>
        <w:rPr>
          <w:rFonts w:hint="eastAsia" w:ascii="仿宋_GB2312" w:hAnsi="仿宋_GB2312" w:eastAsia="仿宋_GB2312" w:cs="仿宋_GB2312"/>
          <w:color w:val="auto"/>
          <w:kern w:val="0"/>
          <w:sz w:val="32"/>
          <w:szCs w:val="32"/>
          <w:u w:val="none"/>
          <w:lang w:val="en-US" w:eastAsia="zh-CN" w:bidi="ar"/>
        </w:rPr>
        <w:t>；指导灾区政府做好善后处置事宜。</w:t>
      </w:r>
    </w:p>
    <w:p w14:paraId="61959693">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7.市财政局：负责统筹安排重大以上地震灾害应急救援中市级负责事项等的费用支出，以及市本级组织实施的较大地震灾害调查评估、应急救援救灾等市级负责事项的费用支出；根据受灾地区群众生活需要安排下拨救灾资金；会同灾区政府及有关部门拟制灾后恢复重建规划，做好灾后恢复重建资金的保障、监督。</w:t>
      </w:r>
    </w:p>
    <w:p w14:paraId="6EE06C2B">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8.市人力资源社会保障局：负责组织指导所属学校做好校舍和附属设施安全隐患排查、监测和治理工作；地震灾害发生时在校师生安全管理和组织疏散；妥善解决灾区学生就学问题；开展学生防震减灾应急知识宣传教育工作。</w:t>
      </w:r>
    </w:p>
    <w:p w14:paraId="2B0C9060">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9.市自然资源局：</w:t>
      </w:r>
      <w:r>
        <w:rPr>
          <w:rFonts w:hint="eastAsia" w:ascii="仿宋_GB2312" w:hAnsi="仿宋_GB2312" w:eastAsia="仿宋_GB2312" w:cs="仿宋_GB2312"/>
          <w:b w:val="0"/>
          <w:bCs w:val="0"/>
          <w:color w:val="auto"/>
          <w:sz w:val="32"/>
          <w:szCs w:val="32"/>
          <w:u w:val="none"/>
          <w:lang w:val="en-US" w:eastAsia="zh-CN"/>
        </w:rPr>
        <w:t>负责组织</w:t>
      </w:r>
      <w:r>
        <w:rPr>
          <w:rFonts w:hint="eastAsia" w:ascii="仿宋_GB2312" w:hAnsi="仿宋_GB2312" w:eastAsia="仿宋_GB2312" w:cs="仿宋_GB2312"/>
          <w:color w:val="auto"/>
          <w:kern w:val="0"/>
          <w:sz w:val="32"/>
          <w:szCs w:val="32"/>
          <w:u w:val="none"/>
          <w:lang w:val="en-US" w:eastAsia="zh-CN" w:bidi="ar"/>
        </w:rPr>
        <w:t>开展地震引发地质灾害的调查排查，指导地质灾害监测和预报预警等工作；参与指导、协助当地政府开展受地质灾害威胁群众的转移和安置工作；指导灾区政府及有关部门编制灾后恢复重建规划；协调做好防灾减灾救灾有关用地保障工作；指导地震引发地质灾害应急救援的技术支撑工作。</w:t>
      </w:r>
    </w:p>
    <w:p w14:paraId="4F254CD2">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10.市生态环境局：负责组织开展灾区空气、水源、土壤等环境监测，指导地震灾害引发的突发环境事件应急处置工作。</w:t>
      </w:r>
    </w:p>
    <w:p w14:paraId="3473DF5F">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11.市住房城乡建设局：负责组织指导</w:t>
      </w:r>
      <w:r>
        <w:rPr>
          <w:rFonts w:hint="eastAsia" w:ascii="仿宋_GB2312" w:hAnsi="仿宋_GB2312" w:eastAsia="仿宋_GB2312" w:cs="仿宋_GB2312"/>
          <w:b w:val="0"/>
          <w:bCs w:val="0"/>
          <w:color w:val="auto"/>
          <w:sz w:val="32"/>
          <w:szCs w:val="32"/>
          <w:u w:val="none"/>
          <w:lang w:val="en-US" w:eastAsia="zh-CN"/>
        </w:rPr>
        <w:t>业主单位（或管理单位）做好</w:t>
      </w:r>
      <w:r>
        <w:rPr>
          <w:rFonts w:hint="eastAsia" w:ascii="仿宋_GB2312" w:hAnsi="仿宋_GB2312" w:eastAsia="仿宋_GB2312" w:cs="仿宋_GB2312"/>
          <w:color w:val="auto"/>
          <w:kern w:val="0"/>
          <w:sz w:val="32"/>
          <w:szCs w:val="32"/>
          <w:u w:val="none"/>
          <w:lang w:val="en-US" w:eastAsia="zh-CN" w:bidi="ar"/>
        </w:rPr>
        <w:t>城乡房屋建筑和附属设施的险情排查、监测和治理；指导处置灾区房屋建筑和附属设施的安全隐患，评估受灾建筑物的损坏程度；参与指导灾区政府和有关部门工程建设督导工作。</w:t>
      </w:r>
    </w:p>
    <w:p w14:paraId="1B15829C">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12.市交通运输局、市公路事务中心：负责公路沿线用地红线范围内危害交通干线附属设施的险情排查、监测和治理工作；及时组织、指挥、协调抢修损毁的公路设施，保障道路畅通；在危险路段设立警示标志；配合做好抢险救灾人员、物资及撤离人员的紧急运输工作。</w:t>
      </w:r>
    </w:p>
    <w:p w14:paraId="7187ED7B">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13.市水务局：组织指导所辖水利工程及其管理范围内的险情排查、监测和治理工作；组织水情、汛情监测；依职责组织开展地震引发洪水灾害应急抢险的技术支撑工作；统筹开展灾后水利工程修复或重建工作；做好灾区供水保障工作。</w:t>
      </w:r>
    </w:p>
    <w:p w14:paraId="1E74A71C">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14.市农业农村局：负责组织灾区动物疫病防控工作，及时组织开展灾后农牧业查灾，生产恢复和自救工作。</w:t>
      </w:r>
    </w:p>
    <w:p w14:paraId="7B3B41DF">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15.市商务局：建立健全生活必需品市场供应应急管理机制，协调灾后居民生活必需品的组织、供应。</w:t>
      </w:r>
    </w:p>
    <w:p w14:paraId="382C79F2">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16.市文化广电旅游体育局：负责督促指导各县（区）文旅部门配合对旅游景区、体育场馆、</w:t>
      </w:r>
      <w:r>
        <w:rPr>
          <w:rFonts w:hint="eastAsia" w:ascii="仿宋_GB2312" w:hAnsi="仿宋_GB2312" w:cs="仿宋_GB2312"/>
          <w:color w:val="auto"/>
          <w:kern w:val="0"/>
          <w:sz w:val="32"/>
          <w:szCs w:val="32"/>
          <w:u w:val="none"/>
          <w:lang w:val="en-US" w:eastAsia="zh-CN" w:bidi="ar"/>
        </w:rPr>
        <w:t>所属</w:t>
      </w:r>
      <w:r>
        <w:rPr>
          <w:rFonts w:hint="eastAsia" w:ascii="仿宋_GB2312" w:hAnsi="仿宋_GB2312" w:eastAsia="仿宋_GB2312" w:cs="仿宋_GB2312"/>
          <w:color w:val="auto"/>
          <w:kern w:val="0"/>
          <w:sz w:val="32"/>
          <w:szCs w:val="32"/>
          <w:u w:val="none"/>
          <w:lang w:val="en-US" w:eastAsia="zh-CN" w:bidi="ar"/>
        </w:rPr>
        <w:t>学校内地震灾害风险隐患排查、监测和治理；</w:t>
      </w:r>
      <w:r>
        <w:rPr>
          <w:rFonts w:hint="eastAsia" w:ascii="仿宋_GB2312" w:hAnsi="仿宋_GB2312" w:cs="仿宋_GB2312"/>
          <w:color w:val="auto"/>
          <w:kern w:val="0"/>
          <w:sz w:val="32"/>
          <w:szCs w:val="32"/>
          <w:u w:val="none"/>
          <w:lang w:val="en-US" w:eastAsia="zh-CN" w:bidi="ar"/>
        </w:rPr>
        <w:t>负责</w:t>
      </w:r>
      <w:r>
        <w:rPr>
          <w:rFonts w:hint="eastAsia" w:ascii="仿宋_GB2312" w:hAnsi="仿宋_GB2312" w:eastAsia="仿宋_GB2312" w:cs="仿宋_GB2312"/>
          <w:color w:val="auto"/>
          <w:kern w:val="0"/>
          <w:sz w:val="32"/>
          <w:szCs w:val="32"/>
          <w:u w:val="none"/>
          <w:lang w:val="en-US" w:eastAsia="zh-CN" w:bidi="ar"/>
        </w:rPr>
        <w:t>地震灾害发生时</w:t>
      </w:r>
      <w:r>
        <w:rPr>
          <w:rFonts w:hint="eastAsia" w:ascii="仿宋_GB2312" w:hAnsi="仿宋_GB2312" w:cs="仿宋_GB2312"/>
          <w:color w:val="auto"/>
          <w:kern w:val="0"/>
          <w:sz w:val="32"/>
          <w:szCs w:val="32"/>
          <w:u w:val="none"/>
          <w:lang w:val="en-US" w:eastAsia="zh-CN" w:bidi="ar"/>
        </w:rPr>
        <w:t>所属学校</w:t>
      </w:r>
      <w:r>
        <w:rPr>
          <w:rFonts w:hint="eastAsia" w:ascii="仿宋_GB2312" w:hAnsi="仿宋_GB2312" w:eastAsia="仿宋_GB2312" w:cs="仿宋_GB2312"/>
          <w:color w:val="auto"/>
          <w:kern w:val="0"/>
          <w:sz w:val="32"/>
          <w:szCs w:val="32"/>
          <w:u w:val="none"/>
          <w:lang w:val="en-US" w:eastAsia="zh-CN" w:bidi="ar"/>
        </w:rPr>
        <w:t>在校师生安全管理和组织疏散；协助做好游客的疏散、安置；统筹指导旅游景区内旅游基础设施和服务设施灾后恢复重建工作；负责完善广播电视传输覆盖网，建立完善应急广播体系，确保公众能及时、准确地获取政府部门发布的权威地震灾害信息。</w:t>
      </w:r>
    </w:p>
    <w:p w14:paraId="1CCE0293">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17.市卫生健康局：组织、协调和指导受灾地区开展医疗救护和卫生防疫等工作。</w:t>
      </w:r>
    </w:p>
    <w:p w14:paraId="6C0F322E">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18.市应急管理局：负责市抗震救灾指挥部办公室日常工作；负责提供震情和灾情速报信息；开展震区地震监测及趋势分析，研判地震灾害影响程度和特征，评定地震烈度；负责汇总灾情，指导灾区政府制定应急救援行动计划，部署专业地震灾害救援队伍赴灾区开展救援，协调有关救援队伍参与救灾行动，协调志愿者队伍协助应急救援行动，协调有关专家指导应急救援工作；核定、报告和发布地震灾情信息；会同相关部门调拨帐篷、衣被、食品等生活必需品，指导、协助灾区政府做好受灾群众的紧急转移和安置工作；加强对灾区矿山、工贸、烟花爆竹经营、危险化学品生产经营企业地震灾害应对处置工作的监督指导；组织开展地震灾害突发事件调查评估工作。</w:t>
      </w:r>
    </w:p>
    <w:p w14:paraId="6838D897">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19.市国资委：督促指导市属企业开展防震减灾工作，做好灾区市属企业抗震救灾和恢复重建工作，协调市属企业参与灾后复产、恢复重建工作。</w:t>
      </w:r>
    </w:p>
    <w:p w14:paraId="0449E757">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20.市市场监管局：依职责参与保障灾区食品和包装饮用水安全，稳定市场秩序；管理特种设备安全监察、监督风险防范和伤害监测工作。</w:t>
      </w:r>
    </w:p>
    <w:p w14:paraId="1F747ABC">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21.市城管综合执法局：组织对灾区市政公用设施的防护、巡查、抢修和排险，恢复灾区城市道路、市政桥梁、排水排污、城市照明、燃气供应等市政设施；协助做好公园、广场、绿地等应急避难场所的开放和相关环境卫生管理工作。</w:t>
      </w:r>
    </w:p>
    <w:p w14:paraId="11124289">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22.市红十字会：负责向社会公开募集救灾救助及灾后恢复重建所需的物资、资金；组织红十字应急救援队伍参与应急救援工作。</w:t>
      </w:r>
    </w:p>
    <w:p w14:paraId="2EE1707A">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23.</w:t>
      </w:r>
      <w:r>
        <w:rPr>
          <w:rFonts w:hint="eastAsia" w:ascii="仿宋_GB2312" w:hAnsi="仿宋_GB2312" w:cs="仿宋_GB2312"/>
          <w:color w:val="auto"/>
          <w:kern w:val="0"/>
          <w:sz w:val="32"/>
          <w:szCs w:val="32"/>
          <w:u w:val="none"/>
          <w:lang w:val="en-US" w:eastAsia="zh-CN" w:bidi="ar"/>
        </w:rPr>
        <w:t>河源金融监管分局</w:t>
      </w:r>
      <w:r>
        <w:rPr>
          <w:rFonts w:hint="eastAsia" w:ascii="仿宋_GB2312" w:hAnsi="仿宋_GB2312" w:eastAsia="仿宋_GB2312" w:cs="仿宋_GB2312"/>
          <w:color w:val="auto"/>
          <w:kern w:val="0"/>
          <w:sz w:val="32"/>
          <w:szCs w:val="32"/>
          <w:u w:val="none"/>
          <w:lang w:val="en-US" w:eastAsia="zh-CN" w:bidi="ar"/>
        </w:rPr>
        <w:t>：负责根据灾害损失评估结果指导保险公司及时做好保险理赔事宜。</w:t>
      </w:r>
    </w:p>
    <w:p w14:paraId="42B5AE17">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24.河源供电局：负责修复所辖区域受损毁的电网及供电设备，保障所辖灾区应急装备的临时供电需求和灾区电力供应。</w:t>
      </w:r>
    </w:p>
    <w:p w14:paraId="44A75541">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25.河源军分区战备建设处：组织所属单位和民兵分队参加抢险救灾工作，协助地方政府抢救和转移危险地区群众。</w:t>
      </w:r>
    </w:p>
    <w:p w14:paraId="25522E9C">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26.武警河源支队：组织、指挥所属部队参与抢险救灾工作；协助地方政府维护社会治安和救援受困群众。</w:t>
      </w:r>
    </w:p>
    <w:p w14:paraId="34866A80">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27.市消防救援支队：负责组织、指导各级消防救援队伍投入抢险救灾工作；协助灾区组织危险地区群众安全转移。</w:t>
      </w:r>
    </w:p>
    <w:p w14:paraId="7A0928E7">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28.市气象局：负责加强气象实时监测，及时通报重大气象变化，为地震灾害现场应急救援、处置工作提供气象服务。</w:t>
      </w:r>
    </w:p>
    <w:p w14:paraId="492930EE">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29.河源海事局：负责协助组织转移受灾群众，统一组织江河、水库搜寻救助、船舶污染事故应急处置；组织、指导水上交通管制工作，维护水上交通秩序。</w:t>
      </w:r>
    </w:p>
    <w:p w14:paraId="19FC3940">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30.新丰江地震监测中心站：负责开展震区监测与数据分析，加强流动监测，加密震区监测网，增强震区的监测能力；开展地震监测台站设施的维护抢修工作，确保监测设施的正常运行。</w:t>
      </w:r>
    </w:p>
    <w:p w14:paraId="420B2E77">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31.电信河源</w:t>
      </w:r>
      <w:r>
        <w:rPr>
          <w:rFonts w:hint="eastAsia" w:ascii="仿宋_GB2312" w:hAnsi="仿宋_GB2312" w:cs="仿宋_GB2312"/>
          <w:color w:val="auto"/>
          <w:kern w:val="0"/>
          <w:sz w:val="32"/>
          <w:szCs w:val="32"/>
          <w:u w:val="none"/>
          <w:lang w:val="en-US" w:eastAsia="zh-CN" w:bidi="ar"/>
        </w:rPr>
        <w:t>市</w:t>
      </w:r>
      <w:r>
        <w:rPr>
          <w:rFonts w:hint="eastAsia" w:ascii="仿宋_GB2312" w:hAnsi="仿宋_GB2312" w:eastAsia="仿宋_GB2312" w:cs="仿宋_GB2312"/>
          <w:color w:val="auto"/>
          <w:kern w:val="0"/>
          <w:sz w:val="32"/>
          <w:szCs w:val="32"/>
          <w:u w:val="none"/>
          <w:lang w:val="en-US" w:eastAsia="zh-CN" w:bidi="ar"/>
        </w:rPr>
        <w:t>分公司、联通河源分公司、移动河源分公司、铁塔公司：在省通信管理局的指导下，做好抗震救灾应急指挥公用通讯保障工作；组织开展受损通讯基础设施的抢修、维护，保障灾区正常通讯。</w:t>
      </w:r>
    </w:p>
    <w:p w14:paraId="68AB8E21">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32.粤电新丰江发电公司：负责做好因灾损毁所属电力设施恢复和新丰江水库大坝的安全监测、隐患排查治理。</w:t>
      </w:r>
    </w:p>
    <w:p w14:paraId="6113B1A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bidi="ar"/>
        </w:rPr>
        <w:t>33.河源地质调查中心：根据需要，派出专业技术力量参与地震引发地质灾害的监测、调查和抢险救援行动；为地震引发地质灾害应急抢险和救援工作提供技术支撑。</w:t>
      </w:r>
    </w:p>
    <w:p w14:paraId="2773AF99">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方正黑体_GBK" w:hAnsi="方正黑体_GBK" w:eastAsia="方正黑体_GBK" w:cs="方正黑体_GBK"/>
          <w:b w:val="0"/>
          <w:bCs w:val="0"/>
          <w:color w:val="auto"/>
          <w:sz w:val="32"/>
          <w:szCs w:val="32"/>
          <w:u w:val="none"/>
          <w:lang w:val="en-US" w:eastAsia="zh-CN"/>
        </w:rPr>
      </w:pPr>
    </w:p>
    <w:p w14:paraId="2F1E298B">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方正黑体_GBK" w:hAnsi="方正黑体_GBK" w:eastAsia="方正黑体_GBK" w:cs="方正黑体_GBK"/>
          <w:b w:val="0"/>
          <w:bCs w:val="0"/>
          <w:color w:val="auto"/>
          <w:sz w:val="32"/>
          <w:szCs w:val="32"/>
          <w:u w:val="none"/>
          <w:lang w:val="en-US" w:eastAsia="zh-CN"/>
        </w:rPr>
      </w:pPr>
    </w:p>
    <w:p w14:paraId="30601DA1">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方正黑体_GBK" w:hAnsi="方正黑体_GBK" w:eastAsia="方正黑体_GBK" w:cs="方正黑体_GBK"/>
          <w:b w:val="0"/>
          <w:bCs w:val="0"/>
          <w:color w:val="auto"/>
          <w:sz w:val="32"/>
          <w:szCs w:val="32"/>
          <w:u w:val="none"/>
          <w:lang w:val="en-US" w:eastAsia="zh-CN"/>
        </w:rPr>
      </w:pPr>
    </w:p>
    <w:p w14:paraId="64114800">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方正黑体_GBK" w:hAnsi="方正黑体_GBK" w:eastAsia="方正黑体_GBK" w:cs="方正黑体_GBK"/>
          <w:b w:val="0"/>
          <w:bCs w:val="0"/>
          <w:color w:val="auto"/>
          <w:sz w:val="32"/>
          <w:szCs w:val="32"/>
          <w:u w:val="none"/>
          <w:lang w:val="en-US" w:eastAsia="zh-CN"/>
        </w:rPr>
      </w:pPr>
    </w:p>
    <w:p w14:paraId="53DCF464">
      <w:pPr>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br w:type="page"/>
      </w:r>
    </w:p>
    <w:p w14:paraId="7033F53F">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附件</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Pr>
          <w:rFonts w:hint="eastAsia" w:ascii="黑体" w:hAnsi="黑体" w:eastAsia="黑体" w:cs="黑体"/>
          <w:b w:val="0"/>
          <w:bCs w:val="0"/>
          <w:color w:val="auto"/>
          <w:sz w:val="32"/>
          <w:szCs w:val="32"/>
          <w:u w:val="none"/>
          <w:lang w:val="en-US" w:eastAsia="zh-CN"/>
        </w:rPr>
        <w:t>2</w:t>
      </w:r>
    </w:p>
    <w:p w14:paraId="789CCA26">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jc w:val="both"/>
        <w:textAlignment w:val="auto"/>
        <w:rPr>
          <w:rFonts w:hint="default" w:ascii="Times New Roman" w:hAnsi="Times New Roman" w:eastAsia="方正小标宋简体" w:cs="Times New Roman"/>
          <w:b w:val="0"/>
          <w:bCs w:val="0"/>
          <w:color w:val="auto"/>
          <w:sz w:val="32"/>
          <w:szCs w:val="32"/>
          <w:u w:val="none"/>
          <w:lang w:val="en-US" w:eastAsia="zh-CN"/>
        </w:rPr>
      </w:pPr>
    </w:p>
    <w:p w14:paraId="1D1D6B7D">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44"/>
          <w:szCs w:val="44"/>
          <w:u w:val="none"/>
          <w:lang w:val="en-US" w:eastAsia="zh-CN"/>
        </w:rPr>
      </w:pPr>
      <w:r>
        <w:rPr>
          <w:rFonts w:hint="eastAsia" w:ascii="方正小标宋简体" w:hAnsi="方正小标宋简体" w:eastAsia="方正小标宋简体" w:cs="方正小标宋简体"/>
          <w:b w:val="0"/>
          <w:bCs w:val="0"/>
          <w:color w:val="auto"/>
          <w:sz w:val="44"/>
          <w:szCs w:val="44"/>
          <w:u w:val="none"/>
          <w:lang w:val="en-US" w:eastAsia="zh-CN"/>
        </w:rPr>
        <w:t>市抗震救灾指挥部工作组职责</w:t>
      </w:r>
    </w:p>
    <w:p w14:paraId="62A8294C">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jc w:val="both"/>
        <w:textAlignment w:val="auto"/>
        <w:rPr>
          <w:rFonts w:hint="eastAsia" w:ascii="创艺简标宋" w:hAnsi="创艺简标宋" w:eastAsia="创艺简标宋" w:cs="创艺简标宋"/>
          <w:b w:val="0"/>
          <w:bCs w:val="0"/>
          <w:color w:val="auto"/>
          <w:sz w:val="32"/>
          <w:szCs w:val="32"/>
          <w:u w:val="none"/>
          <w:lang w:val="en-US" w:eastAsia="zh-CN"/>
        </w:rPr>
      </w:pPr>
    </w:p>
    <w:p w14:paraId="5EC6E6B5">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根据</w:t>
      </w:r>
      <w:r>
        <w:rPr>
          <w:rFonts w:hint="eastAsia" w:ascii="仿宋_GB2312" w:hAnsi="仿宋_GB2312" w:cs="仿宋_GB2312"/>
          <w:color w:val="auto"/>
          <w:kern w:val="0"/>
          <w:sz w:val="32"/>
          <w:szCs w:val="32"/>
          <w:u w:val="none"/>
          <w:lang w:val="en-US" w:eastAsia="zh-CN" w:bidi="ar"/>
        </w:rPr>
        <w:t>工作</w:t>
      </w:r>
      <w:r>
        <w:rPr>
          <w:rFonts w:hint="eastAsia" w:ascii="仿宋_GB2312" w:hAnsi="仿宋_GB2312" w:eastAsia="仿宋_GB2312" w:cs="仿宋_GB2312"/>
          <w:color w:val="auto"/>
          <w:kern w:val="0"/>
          <w:sz w:val="32"/>
          <w:szCs w:val="32"/>
          <w:u w:val="none"/>
          <w:lang w:val="en-US" w:eastAsia="zh-CN" w:bidi="ar"/>
        </w:rPr>
        <w:t>需要，市抗震救灾指挥部设立综合信息组、抢险救援组、群众安置组、灾情监测组、医疗防疫组、社会治安组、基础设施和装备物资保障组、交通运输组、灾害评估组、宣传报道组、恢复重建组等工作组，各工作组成员和职责如下：</w:t>
      </w:r>
    </w:p>
    <w:p w14:paraId="4F22D2F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0"/>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一、综合信息组</w:t>
      </w:r>
    </w:p>
    <w:p w14:paraId="73889040">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由市应急管理局牵头，市委宣传部、市发展改革局、市公安局、市交通运输局、市卫生健康局等各工作组牵头单位参加。及时汇总、上报各工作组职责范围内灾情险情和应急处置情况报告及动态信息。承担市抗震救灾指挥部办公室的文件草拟、会议组织以及市抗震救灾指挥部领导交办的有关工作。</w:t>
      </w:r>
    </w:p>
    <w:p w14:paraId="4BF2774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0"/>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二、抢险救援组</w:t>
      </w:r>
    </w:p>
    <w:p w14:paraId="7C656BEB">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由市应急管理局牵头，河源军分区战备建设处、武警河源支队、市消防救援支队等</w:t>
      </w:r>
      <w:r>
        <w:rPr>
          <w:rFonts w:hint="eastAsia" w:ascii="仿宋_GB2312" w:hAnsi="仿宋_GB2312" w:cs="仿宋_GB2312"/>
          <w:color w:val="auto"/>
          <w:kern w:val="0"/>
          <w:sz w:val="32"/>
          <w:szCs w:val="32"/>
          <w:u w:val="none"/>
          <w:lang w:val="en-US" w:eastAsia="zh-CN" w:bidi="ar"/>
        </w:rPr>
        <w:t>单位</w:t>
      </w:r>
      <w:r>
        <w:rPr>
          <w:rFonts w:hint="eastAsia" w:ascii="仿宋_GB2312" w:hAnsi="仿宋_GB2312" w:eastAsia="仿宋_GB2312" w:cs="仿宋_GB2312"/>
          <w:color w:val="auto"/>
          <w:kern w:val="0"/>
          <w:sz w:val="32"/>
          <w:szCs w:val="32"/>
          <w:u w:val="none"/>
          <w:lang w:val="en-US" w:eastAsia="zh-CN" w:bidi="ar"/>
        </w:rPr>
        <w:t>参加。负责组织救援队伍搜索营救被困群众和受伤人员，负责协调救援人员、装备和物资的后勤保障，负责清理灾区现场，发动基层干部群众开展自救互救。</w:t>
      </w:r>
    </w:p>
    <w:p w14:paraId="1EAA2A6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0"/>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三、群众安置组</w:t>
      </w:r>
    </w:p>
    <w:p w14:paraId="192C8970">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由市应急管理局牵头，市发展改革局、市教育局、市民政局、市财政局、市人力资源社会保障局、市商务局、市市场监管局、市红十字会等</w:t>
      </w:r>
      <w:r>
        <w:rPr>
          <w:rFonts w:hint="eastAsia" w:ascii="仿宋_GB2312" w:hAnsi="仿宋_GB2312" w:cs="仿宋_GB2312"/>
          <w:color w:val="auto"/>
          <w:kern w:val="0"/>
          <w:sz w:val="32"/>
          <w:szCs w:val="32"/>
          <w:u w:val="none"/>
          <w:lang w:val="en-US" w:eastAsia="zh-CN" w:bidi="ar"/>
        </w:rPr>
        <w:t>单位</w:t>
      </w:r>
      <w:r>
        <w:rPr>
          <w:rFonts w:hint="eastAsia" w:ascii="仿宋_GB2312" w:hAnsi="仿宋_GB2312" w:eastAsia="仿宋_GB2312" w:cs="仿宋_GB2312"/>
          <w:color w:val="auto"/>
          <w:kern w:val="0"/>
          <w:sz w:val="32"/>
          <w:szCs w:val="32"/>
          <w:u w:val="none"/>
          <w:lang w:val="en-US" w:eastAsia="zh-CN" w:bidi="ar"/>
        </w:rPr>
        <w:t>参加。指导、协助灾区政府做好受灾群众的紧急转移和安置工作，抓好灾区生活必需品供应，指导有关地区做好因灾倒塌房屋群众的紧急安置，启用应急避难场所或设置临时避难场所，保障灾区群众基本生活，保障灾区市场供应，协调办理接收国家、省</w:t>
      </w:r>
      <w:r>
        <w:rPr>
          <w:rFonts w:hint="eastAsia" w:ascii="仿宋_GB2312" w:hAnsi="仿宋_GB2312" w:cs="仿宋_GB2312"/>
          <w:color w:val="auto"/>
          <w:kern w:val="0"/>
          <w:sz w:val="32"/>
          <w:szCs w:val="32"/>
          <w:u w:val="none"/>
          <w:lang w:val="en-US" w:eastAsia="zh-CN" w:bidi="ar"/>
        </w:rPr>
        <w:t>内外</w:t>
      </w:r>
      <w:r>
        <w:rPr>
          <w:rFonts w:hint="eastAsia" w:ascii="仿宋_GB2312" w:hAnsi="仿宋_GB2312" w:eastAsia="仿宋_GB2312" w:cs="仿宋_GB2312"/>
          <w:color w:val="auto"/>
          <w:kern w:val="0"/>
          <w:sz w:val="32"/>
          <w:szCs w:val="32"/>
          <w:u w:val="none"/>
          <w:lang w:val="en-US" w:eastAsia="zh-CN" w:bidi="ar"/>
        </w:rPr>
        <w:t>以及国际捐赠和救助有关事务。</w:t>
      </w:r>
    </w:p>
    <w:p w14:paraId="0F42EFA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0"/>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四、灾情监测组</w:t>
      </w:r>
    </w:p>
    <w:p w14:paraId="6A398088">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由市应急管理局牵头，新丰江地震监测中心站、市自然资源局、市生态环境局、市水务局、市气象局、粤电新丰江发电公司、河源地质调查中心等</w:t>
      </w:r>
      <w:r>
        <w:rPr>
          <w:rFonts w:hint="eastAsia" w:ascii="仿宋_GB2312" w:hAnsi="仿宋_GB2312" w:cs="仿宋_GB2312"/>
          <w:color w:val="auto"/>
          <w:kern w:val="0"/>
          <w:sz w:val="32"/>
          <w:szCs w:val="32"/>
          <w:u w:val="none"/>
          <w:lang w:val="en-US" w:eastAsia="zh-CN" w:bidi="ar"/>
        </w:rPr>
        <w:t>单位</w:t>
      </w:r>
      <w:r>
        <w:rPr>
          <w:rFonts w:hint="eastAsia" w:ascii="仿宋_GB2312" w:hAnsi="仿宋_GB2312" w:eastAsia="仿宋_GB2312" w:cs="仿宋_GB2312"/>
          <w:color w:val="auto"/>
          <w:kern w:val="0"/>
          <w:sz w:val="32"/>
          <w:szCs w:val="32"/>
          <w:u w:val="none"/>
          <w:lang w:val="en-US" w:eastAsia="zh-CN" w:bidi="ar"/>
        </w:rPr>
        <w:t>参加。负责加强震情监视，布设流动监测台网，开展监测数据分析，通报余震信息；加强气候、地质、水文、空气、水源、土壤等监测，及时采取措施处置地震引发的各类次生灾害，消除安全隐患。</w:t>
      </w:r>
    </w:p>
    <w:p w14:paraId="046184B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0"/>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五、医疗防疫组</w:t>
      </w:r>
    </w:p>
    <w:p w14:paraId="044A52C8">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由市卫生健康局牵头，市农业农村局、市红十字会等</w:t>
      </w:r>
      <w:r>
        <w:rPr>
          <w:rFonts w:hint="eastAsia" w:ascii="仿宋_GB2312" w:hAnsi="仿宋_GB2312" w:cs="仿宋_GB2312"/>
          <w:color w:val="auto"/>
          <w:kern w:val="0"/>
          <w:sz w:val="32"/>
          <w:szCs w:val="32"/>
          <w:u w:val="none"/>
          <w:lang w:val="en-US" w:eastAsia="zh-CN" w:bidi="ar"/>
        </w:rPr>
        <w:t>单位</w:t>
      </w:r>
      <w:r>
        <w:rPr>
          <w:rFonts w:hint="eastAsia" w:ascii="仿宋_GB2312" w:hAnsi="仿宋_GB2312" w:eastAsia="仿宋_GB2312" w:cs="仿宋_GB2312"/>
          <w:color w:val="auto"/>
          <w:kern w:val="0"/>
          <w:sz w:val="32"/>
          <w:szCs w:val="32"/>
          <w:u w:val="none"/>
          <w:lang w:val="en-US" w:eastAsia="zh-CN" w:bidi="ar"/>
        </w:rPr>
        <w:t>参加。负责做好医疗救助和卫生防疫，组织医疗救护队伍，对受伤人员进行救治，防范和控制各种传染病等疫病的暴发流行。</w:t>
      </w:r>
    </w:p>
    <w:p w14:paraId="6B6F6BD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0"/>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六、社会治安组</w:t>
      </w:r>
    </w:p>
    <w:p w14:paraId="10C279FF">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由市公安局牵头，武警河源支队等</w:t>
      </w:r>
      <w:r>
        <w:rPr>
          <w:rFonts w:hint="eastAsia" w:ascii="仿宋_GB2312" w:hAnsi="仿宋_GB2312" w:cs="仿宋_GB2312"/>
          <w:color w:val="auto"/>
          <w:kern w:val="0"/>
          <w:sz w:val="32"/>
          <w:szCs w:val="32"/>
          <w:u w:val="none"/>
          <w:lang w:val="en-US" w:eastAsia="zh-CN" w:bidi="ar"/>
        </w:rPr>
        <w:t>单位</w:t>
      </w:r>
      <w:r>
        <w:rPr>
          <w:rFonts w:hint="eastAsia" w:ascii="仿宋_GB2312" w:hAnsi="仿宋_GB2312" w:eastAsia="仿宋_GB2312" w:cs="仿宋_GB2312"/>
          <w:color w:val="auto"/>
          <w:kern w:val="0"/>
          <w:sz w:val="32"/>
          <w:szCs w:val="32"/>
          <w:u w:val="none"/>
          <w:lang w:val="en-US" w:eastAsia="zh-CN" w:bidi="ar"/>
        </w:rPr>
        <w:t>参加。负责协助灾区加强治安管理和安全保卫工作，预防和打击各种违法犯罪活动，维护社会治安，维护道路交通秩序，加强对党政机关、要害部门、金融单位、储备仓库等重要场所的警戒和对特殊单位及群体的监控和安置，切实维护社会稳定。</w:t>
      </w:r>
    </w:p>
    <w:p w14:paraId="62405EF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0"/>
        <w:rPr>
          <w:rFonts w:hint="default"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七、基础设施和装备物资保障组</w:t>
      </w:r>
    </w:p>
    <w:p w14:paraId="231DB6D4">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由市发展改革局牵头，市工业和信息化局、市公安局、市交通运输局、市水务局、市文化广电旅游体育局、市国资委、市城管综合执法局、市公路事务中心、</w:t>
      </w:r>
      <w:r>
        <w:rPr>
          <w:rFonts w:hint="eastAsia" w:ascii="仿宋_GB2312" w:hAnsi="仿宋_GB2312" w:cs="仿宋_GB2312"/>
          <w:color w:val="auto"/>
          <w:kern w:val="0"/>
          <w:sz w:val="32"/>
          <w:szCs w:val="32"/>
          <w:u w:val="none"/>
          <w:lang w:val="en-US" w:eastAsia="zh-CN" w:bidi="ar"/>
        </w:rPr>
        <w:t>河源</w:t>
      </w:r>
      <w:r>
        <w:rPr>
          <w:rFonts w:hint="eastAsia" w:ascii="仿宋_GB2312" w:hAnsi="仿宋_GB2312" w:eastAsia="仿宋_GB2312" w:cs="仿宋_GB2312"/>
          <w:color w:val="auto"/>
          <w:kern w:val="0"/>
          <w:sz w:val="32"/>
          <w:szCs w:val="32"/>
          <w:u w:val="none"/>
          <w:lang w:val="en-US" w:eastAsia="zh-CN" w:bidi="ar"/>
        </w:rPr>
        <w:t>供电局等</w:t>
      </w:r>
      <w:r>
        <w:rPr>
          <w:rFonts w:hint="eastAsia" w:ascii="仿宋_GB2312" w:hAnsi="仿宋_GB2312" w:cs="仿宋_GB2312"/>
          <w:color w:val="auto"/>
          <w:kern w:val="0"/>
          <w:sz w:val="32"/>
          <w:szCs w:val="32"/>
          <w:u w:val="none"/>
          <w:lang w:val="en-US" w:eastAsia="zh-CN" w:bidi="ar"/>
        </w:rPr>
        <w:t>单位</w:t>
      </w:r>
      <w:r>
        <w:rPr>
          <w:rFonts w:hint="eastAsia" w:ascii="仿宋_GB2312" w:hAnsi="仿宋_GB2312" w:eastAsia="仿宋_GB2312" w:cs="仿宋_GB2312"/>
          <w:color w:val="auto"/>
          <w:kern w:val="0"/>
          <w:sz w:val="32"/>
          <w:szCs w:val="32"/>
          <w:u w:val="none"/>
          <w:lang w:val="en-US" w:eastAsia="zh-CN" w:bidi="ar"/>
        </w:rPr>
        <w:t>参加。负责铁路、公路、桥梁、隧道等交通设施，以及供电、供水、排水、燃气、供油、通讯、广播电视等基础设施的抢修维护工作；组织调集抢修装备和物资，组织力量开展水、电和成品油等要素的应急供应工作。</w:t>
      </w:r>
    </w:p>
    <w:p w14:paraId="1344854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0"/>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八、交通运输组</w:t>
      </w:r>
    </w:p>
    <w:p w14:paraId="7BE845F1">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由市交通运输局牵头，市公安局、市公路事务中心、河源海事局等</w:t>
      </w:r>
      <w:r>
        <w:rPr>
          <w:rFonts w:hint="eastAsia" w:ascii="仿宋_GB2312" w:hAnsi="仿宋_GB2312" w:cs="仿宋_GB2312"/>
          <w:color w:val="auto"/>
          <w:kern w:val="0"/>
          <w:sz w:val="32"/>
          <w:szCs w:val="32"/>
          <w:u w:val="none"/>
          <w:lang w:val="en-US" w:eastAsia="zh-CN" w:bidi="ar"/>
        </w:rPr>
        <w:t>单位</w:t>
      </w:r>
      <w:r>
        <w:rPr>
          <w:rFonts w:hint="eastAsia" w:ascii="仿宋_GB2312" w:hAnsi="仿宋_GB2312" w:eastAsia="仿宋_GB2312" w:cs="仿宋_GB2312"/>
          <w:color w:val="auto"/>
          <w:kern w:val="0"/>
          <w:sz w:val="32"/>
          <w:szCs w:val="32"/>
          <w:u w:val="none"/>
          <w:lang w:val="en-US" w:eastAsia="zh-CN" w:bidi="ar"/>
        </w:rPr>
        <w:t>参加。负责开展</w:t>
      </w:r>
      <w:r>
        <w:rPr>
          <w:rFonts w:hint="eastAsia" w:ascii="仿宋_GB2312" w:hAnsi="仿宋_GB2312" w:eastAsia="仿宋_GB2312" w:cs="仿宋_GB2312"/>
          <w:b w:val="0"/>
          <w:bCs w:val="0"/>
          <w:color w:val="auto"/>
          <w:sz w:val="32"/>
          <w:szCs w:val="32"/>
          <w:u w:val="none"/>
          <w:lang w:eastAsia="zh-CN"/>
        </w:rPr>
        <w:t>交通道</w:t>
      </w:r>
      <w:r>
        <w:rPr>
          <w:rFonts w:hint="eastAsia" w:ascii="仿宋_GB2312" w:hAnsi="仿宋_GB2312" w:eastAsia="仿宋_GB2312" w:cs="仿宋_GB2312"/>
          <w:b w:val="0"/>
          <w:bCs w:val="0"/>
          <w:color w:val="auto"/>
          <w:sz w:val="32"/>
          <w:szCs w:val="32"/>
          <w:u w:val="none"/>
        </w:rPr>
        <w:t>路抢通</w:t>
      </w:r>
      <w:r>
        <w:rPr>
          <w:rFonts w:hint="eastAsia" w:ascii="仿宋_GB2312" w:hAnsi="仿宋_GB2312" w:eastAsia="仿宋_GB2312" w:cs="仿宋_GB2312"/>
          <w:b w:val="0"/>
          <w:bCs w:val="0"/>
          <w:color w:val="auto"/>
          <w:sz w:val="32"/>
          <w:szCs w:val="32"/>
          <w:u w:val="none"/>
          <w:lang w:eastAsia="zh-CN"/>
        </w:rPr>
        <w:t>和</w:t>
      </w:r>
      <w:r>
        <w:rPr>
          <w:rFonts w:hint="eastAsia" w:ascii="仿宋_GB2312" w:hAnsi="仿宋_GB2312" w:eastAsia="仿宋_GB2312" w:cs="仿宋_GB2312"/>
          <w:color w:val="auto"/>
          <w:kern w:val="0"/>
          <w:sz w:val="32"/>
          <w:szCs w:val="32"/>
          <w:u w:val="none"/>
          <w:lang w:val="en-US" w:eastAsia="zh-CN" w:bidi="ar"/>
        </w:rPr>
        <w:t>抢险救灾运输工作；协调运力，疏导交通，优先保证应急抢险救援人员和救灾物资的运输需要。</w:t>
      </w:r>
    </w:p>
    <w:p w14:paraId="3E68A22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0"/>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九、灾害评估组</w:t>
      </w:r>
    </w:p>
    <w:p w14:paraId="7B001F76">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由市应急管理局牵头，市发展改革局、市自然资源局、市生态环境局、市住房城乡建设局、市交通运输局、市水务局、市农业农村局、市文化广电旅游体育局、</w:t>
      </w:r>
      <w:r>
        <w:rPr>
          <w:rFonts w:hint="eastAsia" w:ascii="仿宋_GB2312" w:hAnsi="仿宋_GB2312" w:cs="仿宋_GB2312"/>
          <w:color w:val="auto"/>
          <w:kern w:val="0"/>
          <w:sz w:val="32"/>
          <w:szCs w:val="32"/>
          <w:u w:val="none"/>
          <w:lang w:val="en-US" w:eastAsia="zh-CN" w:bidi="ar"/>
        </w:rPr>
        <w:t>河源金融监管分局</w:t>
      </w:r>
      <w:r>
        <w:rPr>
          <w:rFonts w:hint="eastAsia" w:ascii="仿宋_GB2312" w:hAnsi="仿宋_GB2312" w:eastAsia="仿宋_GB2312" w:cs="仿宋_GB2312"/>
          <w:color w:val="auto"/>
          <w:kern w:val="0"/>
          <w:sz w:val="32"/>
          <w:szCs w:val="32"/>
          <w:u w:val="none"/>
          <w:lang w:val="en-US" w:eastAsia="zh-CN" w:bidi="ar"/>
        </w:rPr>
        <w:t>、</w:t>
      </w:r>
      <w:r>
        <w:rPr>
          <w:rFonts w:hint="eastAsia" w:ascii="仿宋_GB2312" w:hAnsi="仿宋_GB2312" w:cs="仿宋_GB2312"/>
          <w:color w:val="auto"/>
          <w:kern w:val="0"/>
          <w:sz w:val="32"/>
          <w:szCs w:val="32"/>
          <w:u w:val="none"/>
          <w:lang w:val="en-US" w:eastAsia="zh-CN" w:bidi="ar"/>
        </w:rPr>
        <w:t>河源</w:t>
      </w:r>
      <w:r>
        <w:rPr>
          <w:rFonts w:hint="eastAsia" w:ascii="仿宋_GB2312" w:hAnsi="仿宋_GB2312" w:eastAsia="仿宋_GB2312" w:cs="仿宋_GB2312"/>
          <w:color w:val="auto"/>
          <w:kern w:val="0"/>
          <w:sz w:val="32"/>
          <w:szCs w:val="32"/>
          <w:u w:val="none"/>
          <w:lang w:val="en-US" w:eastAsia="zh-CN" w:bidi="ar"/>
        </w:rPr>
        <w:t>供电局、电信河源</w:t>
      </w:r>
      <w:r>
        <w:rPr>
          <w:rFonts w:hint="eastAsia" w:ascii="仿宋_GB2312" w:hAnsi="仿宋_GB2312" w:cs="仿宋_GB2312"/>
          <w:color w:val="auto"/>
          <w:kern w:val="0"/>
          <w:sz w:val="32"/>
          <w:szCs w:val="32"/>
          <w:u w:val="none"/>
          <w:lang w:val="en-US" w:eastAsia="zh-CN" w:bidi="ar"/>
        </w:rPr>
        <w:t>市</w:t>
      </w:r>
      <w:r>
        <w:rPr>
          <w:rFonts w:hint="eastAsia" w:ascii="仿宋_GB2312" w:hAnsi="仿宋_GB2312" w:eastAsia="仿宋_GB2312" w:cs="仿宋_GB2312"/>
          <w:color w:val="auto"/>
          <w:kern w:val="0"/>
          <w:sz w:val="32"/>
          <w:szCs w:val="32"/>
          <w:u w:val="none"/>
          <w:lang w:val="en-US" w:eastAsia="zh-CN" w:bidi="ar"/>
        </w:rPr>
        <w:t>分公司、联通河源分公司、移动河源分公司、铁塔公司等</w:t>
      </w:r>
      <w:r>
        <w:rPr>
          <w:rFonts w:hint="eastAsia" w:ascii="仿宋_GB2312" w:hAnsi="仿宋_GB2312" w:cs="仿宋_GB2312"/>
          <w:color w:val="auto"/>
          <w:kern w:val="0"/>
          <w:sz w:val="32"/>
          <w:szCs w:val="32"/>
          <w:u w:val="none"/>
          <w:lang w:val="en-US" w:eastAsia="zh-CN" w:bidi="ar"/>
        </w:rPr>
        <w:t>单位</w:t>
      </w:r>
      <w:r>
        <w:rPr>
          <w:rFonts w:hint="eastAsia" w:ascii="仿宋_GB2312" w:hAnsi="仿宋_GB2312" w:eastAsia="仿宋_GB2312" w:cs="仿宋_GB2312"/>
          <w:color w:val="auto"/>
          <w:kern w:val="0"/>
          <w:sz w:val="32"/>
          <w:szCs w:val="32"/>
          <w:u w:val="none"/>
          <w:lang w:val="en-US" w:eastAsia="zh-CN" w:bidi="ar"/>
        </w:rPr>
        <w:t>参加。负责开展灾害损失评估，调查灾区范围、受灾人口、人员伤亡情况、基础设施破坏程度、地震灾害的社会影响程度、环境影响程度、建筑物受损程度等。</w:t>
      </w:r>
    </w:p>
    <w:p w14:paraId="3D5C145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0"/>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十、宣传报道组</w:t>
      </w:r>
    </w:p>
    <w:p w14:paraId="26B1085E">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由市委宣传部牵头，市应急管理局、市文化广电旅游体育局、市地震局等单位参加。视情况及时召开新闻发布会，发布震情、灾情和抗震救灾信息；组织新闻媒体做好抗震救灾宣传报道；加强震情舆情应对，做好科普宣传，及时平息地震谣传、误传事件。</w:t>
      </w:r>
    </w:p>
    <w:p w14:paraId="374851E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0"/>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十一、恢复重建组</w:t>
      </w:r>
    </w:p>
    <w:p w14:paraId="1E3E1972">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由市发展改革局牵头，市工业和信息化局、市财政局、市自然资源局、市住房城乡建设局、市交通运输局、市水务局、市农业农村局、市文化广电旅游体育局、市红十字会等</w:t>
      </w:r>
      <w:r>
        <w:rPr>
          <w:rFonts w:hint="eastAsia" w:ascii="仿宋_GB2312" w:hAnsi="仿宋_GB2312" w:cs="仿宋_GB2312"/>
          <w:color w:val="auto"/>
          <w:kern w:val="0"/>
          <w:sz w:val="32"/>
          <w:szCs w:val="32"/>
          <w:u w:val="none"/>
          <w:lang w:val="en-US" w:eastAsia="zh-CN" w:bidi="ar"/>
        </w:rPr>
        <w:t>单位</w:t>
      </w:r>
      <w:r>
        <w:rPr>
          <w:rFonts w:hint="eastAsia" w:ascii="仿宋_GB2312" w:hAnsi="仿宋_GB2312" w:eastAsia="仿宋_GB2312" w:cs="仿宋_GB2312"/>
          <w:color w:val="auto"/>
          <w:kern w:val="0"/>
          <w:sz w:val="32"/>
          <w:szCs w:val="32"/>
          <w:u w:val="none"/>
          <w:lang w:val="en-US" w:eastAsia="zh-CN" w:bidi="ar"/>
        </w:rPr>
        <w:t>参加。参与指导灾区政府编制灾后恢复重建规划，协助保障救灾资金以及有关设施设备。</w:t>
      </w:r>
    </w:p>
    <w:p w14:paraId="1FBF444C">
      <w:pPr>
        <w:pageBreakBefore w:val="0"/>
        <w:widowControl w:val="0"/>
        <w:kinsoku/>
        <w:wordWrap/>
        <w:overflowPunct/>
        <w:topLinePunct w:val="0"/>
        <w:autoSpaceDE/>
        <w:autoSpaceDN/>
        <w:bidi w:val="0"/>
        <w:adjustRightInd/>
        <w:snapToGrid/>
        <w:spacing w:line="600" w:lineRule="exact"/>
        <w:ind w:firstLine="316" w:firstLineChars="100"/>
        <w:jc w:val="both"/>
        <w:textAlignment w:val="auto"/>
        <w:rPr>
          <w:rFonts w:hint="eastAsia" w:ascii="方正仿宋_GBK" w:hAnsi="方正仿宋_GBK" w:eastAsia="方正仿宋_GBK" w:cs="方正仿宋_GBK"/>
          <w:b w:val="0"/>
          <w:bCs w:val="0"/>
          <w:color w:val="auto"/>
          <w:u w:val="none"/>
          <w:lang w:val="en-US" w:eastAsia="zh-CN"/>
        </w:rPr>
      </w:pPr>
    </w:p>
    <w:p w14:paraId="09B4B6D5">
      <w:pPr>
        <w:pageBreakBefore w:val="0"/>
        <w:widowControl w:val="0"/>
        <w:kinsoku/>
        <w:wordWrap/>
        <w:overflowPunct/>
        <w:topLinePunct w:val="0"/>
        <w:autoSpaceDE/>
        <w:autoSpaceDN/>
        <w:bidi w:val="0"/>
        <w:adjustRightInd/>
        <w:snapToGrid/>
        <w:spacing w:line="600" w:lineRule="exact"/>
        <w:ind w:firstLine="316" w:firstLineChars="100"/>
        <w:jc w:val="both"/>
        <w:textAlignment w:val="auto"/>
        <w:rPr>
          <w:rFonts w:hint="eastAsia" w:ascii="方正仿宋_GBK" w:hAnsi="方正仿宋_GBK" w:eastAsia="方正仿宋_GBK" w:cs="方正仿宋_GBK"/>
          <w:b w:val="0"/>
          <w:bCs w:val="0"/>
          <w:color w:val="auto"/>
          <w:u w:val="none"/>
          <w:lang w:val="en-US" w:eastAsia="zh-CN"/>
        </w:rPr>
      </w:pPr>
    </w:p>
    <w:p w14:paraId="285E1133">
      <w:pPr>
        <w:pageBreakBefore w:val="0"/>
        <w:widowControl w:val="0"/>
        <w:kinsoku/>
        <w:wordWrap/>
        <w:overflowPunct/>
        <w:topLinePunct w:val="0"/>
        <w:autoSpaceDE/>
        <w:autoSpaceDN/>
        <w:bidi w:val="0"/>
        <w:adjustRightInd/>
        <w:snapToGrid/>
        <w:spacing w:line="600" w:lineRule="exact"/>
        <w:ind w:firstLine="316" w:firstLineChars="100"/>
        <w:jc w:val="both"/>
        <w:textAlignment w:val="auto"/>
        <w:rPr>
          <w:rFonts w:hint="eastAsia" w:ascii="方正仿宋_GBK" w:hAnsi="方正仿宋_GBK" w:eastAsia="方正仿宋_GBK" w:cs="方正仿宋_GBK"/>
          <w:b w:val="0"/>
          <w:bCs w:val="0"/>
          <w:color w:val="auto"/>
          <w:u w:val="none"/>
          <w:lang w:val="en-US" w:eastAsia="zh-CN"/>
        </w:rPr>
      </w:pPr>
    </w:p>
    <w:p w14:paraId="70038B65">
      <w:pPr>
        <w:pageBreakBefore w:val="0"/>
        <w:widowControl w:val="0"/>
        <w:kinsoku/>
        <w:wordWrap/>
        <w:overflowPunct/>
        <w:topLinePunct w:val="0"/>
        <w:autoSpaceDE/>
        <w:autoSpaceDN/>
        <w:bidi w:val="0"/>
        <w:adjustRightInd/>
        <w:snapToGrid/>
        <w:spacing w:line="600" w:lineRule="exact"/>
        <w:ind w:firstLine="316" w:firstLineChars="100"/>
        <w:jc w:val="both"/>
        <w:textAlignment w:val="auto"/>
        <w:rPr>
          <w:rFonts w:hint="eastAsia" w:ascii="方正仿宋_GBK" w:hAnsi="方正仿宋_GBK" w:eastAsia="方正仿宋_GBK" w:cs="方正仿宋_GBK"/>
          <w:b w:val="0"/>
          <w:bCs w:val="0"/>
          <w:color w:val="auto"/>
          <w:u w:val="none"/>
          <w:lang w:val="en-US" w:eastAsia="zh-CN"/>
        </w:rPr>
      </w:pPr>
    </w:p>
    <w:p w14:paraId="0932BDC2">
      <w:pPr>
        <w:pageBreakBefore w:val="0"/>
        <w:widowControl w:val="0"/>
        <w:kinsoku/>
        <w:wordWrap/>
        <w:overflowPunct/>
        <w:topLinePunct w:val="0"/>
        <w:autoSpaceDE/>
        <w:autoSpaceDN/>
        <w:bidi w:val="0"/>
        <w:adjustRightInd/>
        <w:snapToGrid/>
        <w:spacing w:line="600" w:lineRule="exact"/>
        <w:ind w:firstLine="316" w:firstLineChars="100"/>
        <w:jc w:val="both"/>
        <w:textAlignment w:val="auto"/>
        <w:rPr>
          <w:rFonts w:hint="eastAsia" w:ascii="方正仿宋_GBK" w:hAnsi="方正仿宋_GBK" w:eastAsia="方正仿宋_GBK" w:cs="方正仿宋_GBK"/>
          <w:b w:val="0"/>
          <w:bCs w:val="0"/>
          <w:color w:val="auto"/>
          <w:u w:val="none"/>
          <w:lang w:val="en-US" w:eastAsia="zh-CN"/>
        </w:rPr>
      </w:pPr>
    </w:p>
    <w:p w14:paraId="3F12E693">
      <w:pPr>
        <w:pageBreakBefore w:val="0"/>
        <w:widowControl w:val="0"/>
        <w:kinsoku/>
        <w:wordWrap/>
        <w:overflowPunct/>
        <w:topLinePunct w:val="0"/>
        <w:autoSpaceDE/>
        <w:autoSpaceDN/>
        <w:bidi w:val="0"/>
        <w:adjustRightInd/>
        <w:snapToGrid/>
        <w:spacing w:line="600" w:lineRule="exact"/>
        <w:ind w:firstLine="316" w:firstLineChars="100"/>
        <w:jc w:val="both"/>
        <w:textAlignment w:val="auto"/>
        <w:rPr>
          <w:rFonts w:hint="eastAsia" w:ascii="方正仿宋_GBK" w:hAnsi="方正仿宋_GBK" w:eastAsia="方正仿宋_GBK" w:cs="方正仿宋_GBK"/>
          <w:b w:val="0"/>
          <w:bCs w:val="0"/>
          <w:color w:val="auto"/>
          <w:u w:val="none"/>
          <w:lang w:val="en-US" w:eastAsia="zh-CN"/>
        </w:rPr>
      </w:pPr>
    </w:p>
    <w:p w14:paraId="45399333">
      <w:pPr>
        <w:pageBreakBefore w:val="0"/>
        <w:widowControl w:val="0"/>
        <w:kinsoku/>
        <w:wordWrap/>
        <w:overflowPunct/>
        <w:topLinePunct w:val="0"/>
        <w:autoSpaceDE/>
        <w:autoSpaceDN/>
        <w:bidi w:val="0"/>
        <w:adjustRightInd/>
        <w:snapToGrid/>
        <w:spacing w:line="600" w:lineRule="exact"/>
        <w:ind w:firstLine="316" w:firstLineChars="100"/>
        <w:jc w:val="both"/>
        <w:textAlignment w:val="auto"/>
        <w:rPr>
          <w:rFonts w:hint="eastAsia" w:ascii="方正仿宋_GBK" w:hAnsi="方正仿宋_GBK" w:eastAsia="方正仿宋_GBK" w:cs="方正仿宋_GBK"/>
          <w:b w:val="0"/>
          <w:bCs w:val="0"/>
          <w:color w:val="auto"/>
          <w:u w:val="none"/>
          <w:lang w:val="en-US" w:eastAsia="zh-CN"/>
        </w:rPr>
      </w:pPr>
    </w:p>
    <w:p w14:paraId="3C8EB86D">
      <w:pPr>
        <w:pageBreakBefore w:val="0"/>
        <w:widowControl w:val="0"/>
        <w:kinsoku/>
        <w:wordWrap/>
        <w:overflowPunct/>
        <w:topLinePunct w:val="0"/>
        <w:autoSpaceDE/>
        <w:autoSpaceDN/>
        <w:bidi w:val="0"/>
        <w:adjustRightInd/>
        <w:snapToGrid/>
        <w:spacing w:line="600" w:lineRule="exact"/>
        <w:ind w:firstLine="316" w:firstLineChars="100"/>
        <w:jc w:val="both"/>
        <w:textAlignment w:val="auto"/>
        <w:rPr>
          <w:rFonts w:hint="eastAsia" w:ascii="方正仿宋_GBK" w:hAnsi="方正仿宋_GBK" w:eastAsia="方正仿宋_GBK" w:cs="方正仿宋_GBK"/>
          <w:b w:val="0"/>
          <w:bCs w:val="0"/>
          <w:color w:val="auto"/>
          <w:u w:val="none"/>
          <w:lang w:val="en-US" w:eastAsia="zh-CN"/>
        </w:rPr>
      </w:pPr>
    </w:p>
    <w:p w14:paraId="07A8F0B6">
      <w:pPr>
        <w:pageBreakBefore w:val="0"/>
        <w:widowControl w:val="0"/>
        <w:kinsoku/>
        <w:wordWrap/>
        <w:overflowPunct/>
        <w:topLinePunct w:val="0"/>
        <w:autoSpaceDE/>
        <w:autoSpaceDN/>
        <w:bidi w:val="0"/>
        <w:adjustRightInd/>
        <w:snapToGrid/>
        <w:spacing w:line="600" w:lineRule="exact"/>
        <w:ind w:firstLine="316" w:firstLineChars="100"/>
        <w:jc w:val="both"/>
        <w:textAlignment w:val="auto"/>
        <w:rPr>
          <w:rFonts w:hint="eastAsia" w:ascii="方正仿宋_GBK" w:hAnsi="方正仿宋_GBK" w:eastAsia="方正仿宋_GBK" w:cs="方正仿宋_GBK"/>
          <w:b w:val="0"/>
          <w:bCs w:val="0"/>
          <w:color w:val="auto"/>
          <w:u w:val="none"/>
          <w:lang w:val="en-US" w:eastAsia="zh-CN"/>
        </w:rPr>
      </w:pPr>
    </w:p>
    <w:p w14:paraId="75C8C7C5">
      <w:pPr>
        <w:keepNext w:val="0"/>
        <w:keepLines w:val="0"/>
        <w:pageBreakBefore w:val="0"/>
        <w:widowControl w:val="0"/>
        <w:kinsoku/>
        <w:wordWrap/>
        <w:overflowPunct/>
        <w:topLinePunct w:val="0"/>
        <w:autoSpaceDE/>
        <w:autoSpaceDN/>
        <w:bidi w:val="0"/>
        <w:adjustRightInd/>
        <w:snapToGrid/>
        <w:spacing w:line="520" w:lineRule="exact"/>
        <w:ind w:firstLine="316" w:firstLineChars="100"/>
        <w:jc w:val="both"/>
        <w:textAlignment w:val="auto"/>
        <w:rPr>
          <w:rFonts w:hint="eastAsia" w:ascii="方正仿宋_GBK" w:hAnsi="方正仿宋_GBK" w:eastAsia="方正仿宋_GBK" w:cs="方正仿宋_GBK"/>
          <w:b w:val="0"/>
          <w:bCs w:val="0"/>
          <w:color w:val="auto"/>
          <w:u w:val="none"/>
          <w:lang w:val="en-US" w:eastAsia="zh-CN"/>
        </w:rPr>
      </w:pPr>
    </w:p>
    <w:p w14:paraId="75ED814A">
      <w:pPr>
        <w:keepNext w:val="0"/>
        <w:keepLines w:val="0"/>
        <w:pageBreakBefore w:val="0"/>
        <w:widowControl w:val="0"/>
        <w:kinsoku/>
        <w:wordWrap/>
        <w:overflowPunct/>
        <w:topLinePunct w:val="0"/>
        <w:autoSpaceDE/>
        <w:autoSpaceDN/>
        <w:bidi w:val="0"/>
        <w:adjustRightInd/>
        <w:snapToGrid/>
        <w:spacing w:line="520" w:lineRule="exact"/>
        <w:ind w:firstLine="316" w:firstLineChars="100"/>
        <w:jc w:val="both"/>
        <w:textAlignment w:val="auto"/>
        <w:rPr>
          <w:rFonts w:hint="eastAsia" w:ascii="方正仿宋_GBK" w:hAnsi="方正仿宋_GBK" w:eastAsia="方正仿宋_GBK" w:cs="方正仿宋_GBK"/>
          <w:b w:val="0"/>
          <w:bCs w:val="0"/>
          <w:color w:val="auto"/>
          <w:u w:val="none"/>
          <w:lang w:val="en-US" w:eastAsia="zh-CN"/>
        </w:rPr>
      </w:pPr>
    </w:p>
    <w:p w14:paraId="02F10788">
      <w:pPr>
        <w:spacing w:line="600" w:lineRule="exact"/>
        <w:rPr>
          <w:rFonts w:hint="eastAsia"/>
          <w:u w:val="none"/>
        </w:rPr>
      </w:pPr>
      <w:r>
        <w:rPr>
          <w:rFonts w:hint="eastAsia" w:eastAsia="黑体"/>
          <w:u w:val="none"/>
        </w:rPr>
        <w:t>公开方式：</w:t>
      </w:r>
      <w:r>
        <w:rPr>
          <w:rFonts w:hint="eastAsia"/>
          <w:u w:val="none"/>
        </w:rPr>
        <w:t>主动公开</w:t>
      </w:r>
      <w:bookmarkStart w:id="796" w:name="_GoBack"/>
      <w:bookmarkEnd w:id="796"/>
    </w:p>
    <w:sectPr>
      <w:footerReference r:id="rId8" w:type="first"/>
      <w:footerReference r:id="rId6" w:type="default"/>
      <w:footerReference r:id="rId7" w:type="even"/>
      <w:pgSz w:w="11906" w:h="16838"/>
      <w:pgMar w:top="1531" w:right="1531" w:bottom="2098" w:left="1531" w:header="851" w:footer="992" w:gutter="0"/>
      <w:pgNumType w:fmt="decimal" w:start="2"/>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3C0041" w:csb1="A0080000"/>
  </w:font>
  <w:font w:name="创艺简标宋">
    <w:altName w:val="黑体"/>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FC11C">
    <w:pPr>
      <w:pStyle w:val="4"/>
      <w:ind w:right="360" w:firstLine="36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FA814">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FB9FD">
    <w:pPr>
      <w:pStyle w:val="4"/>
      <w:rPr>
        <w:rStyle w:val="9"/>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D12459">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DD12459">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14:paraId="4822D577">
    <w:pPr>
      <w:pStyle w:val="4"/>
      <w:framePr w:wrap="around" w:vAnchor="text" w:hAnchor="margin" w:y="1"/>
      <w:ind w:right="360"/>
      <w:rPr>
        <w:rStyle w:val="9"/>
        <w:rFonts w:hint="eastAsia"/>
      </w:rPr>
    </w:pPr>
  </w:p>
  <w:p w14:paraId="4FE9544D">
    <w:pPr>
      <w:pStyle w:val="4"/>
      <w:ind w:right="360"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A08A6">
    <w:pPr>
      <w:pStyle w:val="4"/>
      <w:framePr w:wrap="around" w:vAnchor="text" w:hAnchor="margin" w:xAlign="outside" w:y="1"/>
      <w:rPr>
        <w:rStyle w:val="9"/>
      </w:rPr>
    </w:pPr>
    <w:r>
      <w:fldChar w:fldCharType="begin"/>
    </w:r>
    <w:r>
      <w:rPr>
        <w:rStyle w:val="9"/>
      </w:rPr>
      <w:instrText xml:space="preserve">PAGE  </w:instrText>
    </w:r>
    <w:r>
      <w:fldChar w:fldCharType="end"/>
    </w:r>
  </w:p>
  <w:p w14:paraId="45FB22B0">
    <w:pPr>
      <w:pStyle w:val="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58C4B">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51113">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BB51113">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274EF">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113BC"/>
    <w:rsid w:val="004C6721"/>
    <w:rsid w:val="006570AA"/>
    <w:rsid w:val="00692DE6"/>
    <w:rsid w:val="0075294E"/>
    <w:rsid w:val="00806F0C"/>
    <w:rsid w:val="009B0380"/>
    <w:rsid w:val="00B53BE9"/>
    <w:rsid w:val="00B769F4"/>
    <w:rsid w:val="00C90BF7"/>
    <w:rsid w:val="00CF4301"/>
    <w:rsid w:val="00D657ED"/>
    <w:rsid w:val="00DB7CDD"/>
    <w:rsid w:val="05B861CB"/>
    <w:rsid w:val="11B36E96"/>
    <w:rsid w:val="12B20545"/>
    <w:rsid w:val="1AC113BC"/>
    <w:rsid w:val="1B8076CB"/>
    <w:rsid w:val="1BEB4E06"/>
    <w:rsid w:val="2EC21722"/>
    <w:rsid w:val="30C776F3"/>
    <w:rsid w:val="38521E2E"/>
    <w:rsid w:val="3C8F0115"/>
    <w:rsid w:val="405A73EF"/>
    <w:rsid w:val="4A157493"/>
    <w:rsid w:val="4F1951F1"/>
    <w:rsid w:val="555C0F89"/>
    <w:rsid w:val="56D45066"/>
    <w:rsid w:val="58896A3F"/>
    <w:rsid w:val="64DB0101"/>
    <w:rsid w:val="671464E6"/>
    <w:rsid w:val="6CC13D99"/>
    <w:rsid w:val="78D5640F"/>
    <w:rsid w:val="7D450D06"/>
    <w:rsid w:val="7F0E1755"/>
    <w:rsid w:val="7F766A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spacing w:line="500" w:lineRule="exact"/>
      <w:ind w:left="1102" w:leftChars="349" w:firstLine="1"/>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spacing w:after="120" w:line="480" w:lineRule="auto"/>
    </w:pPr>
    <w:rPr>
      <w:rFonts w:ascii="Times New Roman" w:hAnsi="Times New Roman" w:eastAsia="宋体" w:cs="Times New Roman"/>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827;&#24220;&#21150;&#209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河府办函.dot</Template>
  <Pages>30</Pages>
  <Words>13000</Words>
  <Characters>13339</Characters>
  <Lines>1</Lines>
  <Paragraphs>1</Paragraphs>
  <TotalTime>0</TotalTime>
  <ScaleCrop>false</ScaleCrop>
  <LinksUpToDate>false</LinksUpToDate>
  <CharactersWithSpaces>13479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2025-09-25T01:28:00Z</dcterms:created>
  <dc:creator>Administrator</dc:creator>
  <cp:lastModifiedBy>hyxr</cp:lastModifiedBy>
  <dcterms:modified xsi:type="dcterms:W3CDTF">2025-09-29T08:30:42Z</dcterms:modified>
  <dc:title>河府办函[2004]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85B64B1167864E37BECB3A8E8E683745</vt:lpwstr>
  </property>
  <property fmtid="{D5CDD505-2E9C-101B-9397-08002B2CF9AE}" pid="4" name="KSOTemplateDocerSaveRecord">
    <vt:lpwstr>eyJoZGlkIjoiOTNlYTMzZjhhNTdmYzY0OGRlOTA1MDM4ZDk4Y2I4ZTEiLCJ1c2VySWQiOiI3MTY4NDI1MDEifQ==</vt:lpwstr>
  </property>
</Properties>
</file>