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spacing w:val="-16"/>
          <w:sz w:val="44"/>
          <w:lang w:val="en-US" w:eastAsia="zh-CN"/>
        </w:rPr>
      </w:pPr>
      <w:r>
        <w:rPr>
          <w:rFonts w:hint="eastAsia" w:ascii="仿宋_GB2312" w:hAnsi="仿宋_GB2312" w:eastAsia="仿宋_GB2312" w:cs="仿宋_GB2312"/>
          <w:b w:val="0"/>
          <w:bCs/>
          <w:spacing w:val="-16"/>
          <w:sz w:val="44"/>
          <w:lang w:eastAsia="zh-CN"/>
        </w:rPr>
        <w:t>附件</w:t>
      </w:r>
      <w:r>
        <w:rPr>
          <w:rFonts w:hint="eastAsia" w:ascii="仿宋_GB2312" w:hAnsi="仿宋_GB2312" w:eastAsia="仿宋_GB2312" w:cs="仿宋_GB2312"/>
          <w:b w:val="0"/>
          <w:bCs/>
          <w:spacing w:val="-16"/>
          <w:sz w:val="44"/>
          <w:lang w:val="en-US" w:eastAsia="zh-CN"/>
        </w:rPr>
        <w:t>3</w:t>
      </w:r>
    </w:p>
    <w:p>
      <w:pPr>
        <w:jc w:val="center"/>
        <w:rPr>
          <w:rFonts w:hint="eastAsia" w:ascii="方正小标宋简体" w:hAnsi="方正小标宋简体" w:eastAsia="方正小标宋简体" w:cs="方正小标宋简体"/>
          <w:b w:val="0"/>
          <w:bCs/>
          <w:spacing w:val="-16"/>
          <w:sz w:val="44"/>
        </w:rPr>
      </w:pPr>
      <w:r>
        <w:rPr>
          <w:rFonts w:hint="eastAsia" w:ascii="方正小标宋简体" w:hAnsi="方正小标宋简体" w:eastAsia="方正小标宋简体" w:cs="方正小标宋简体"/>
          <w:b w:val="0"/>
          <w:bCs/>
          <w:spacing w:val="-16"/>
          <w:sz w:val="44"/>
          <w:lang w:eastAsia="zh-CN"/>
        </w:rPr>
        <w:t>液化石油气</w:t>
      </w:r>
      <w:r>
        <w:rPr>
          <w:rFonts w:hint="eastAsia" w:ascii="方正小标宋简体" w:hAnsi="方正小标宋简体" w:eastAsia="方正小标宋简体" w:cs="方正小标宋简体"/>
          <w:b w:val="0"/>
          <w:bCs/>
          <w:spacing w:val="-16"/>
          <w:sz w:val="44"/>
        </w:rPr>
        <w:t>产品质量监督</w:t>
      </w:r>
      <w:r>
        <w:rPr>
          <w:rFonts w:hint="eastAsia" w:ascii="方正小标宋简体" w:hAnsi="方正小标宋简体" w:eastAsia="方正小标宋简体" w:cs="方正小标宋简体"/>
          <w:b w:val="0"/>
          <w:bCs/>
          <w:spacing w:val="-16"/>
          <w:sz w:val="44"/>
          <w:lang w:eastAsia="zh-CN"/>
        </w:rPr>
        <w:t>抽查实施</w:t>
      </w:r>
      <w:r>
        <w:rPr>
          <w:rFonts w:hint="eastAsia" w:ascii="方正小标宋简体" w:hAnsi="方正小标宋简体" w:eastAsia="方正小标宋简体" w:cs="方正小标宋简体"/>
          <w:b w:val="0"/>
          <w:bCs/>
          <w:spacing w:val="-16"/>
          <w:sz w:val="44"/>
        </w:rPr>
        <w:t>细则</w:t>
      </w:r>
    </w:p>
    <w:p>
      <w:pPr>
        <w:pStyle w:val="2"/>
        <w:jc w:val="center"/>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b w:val="0"/>
          <w:bCs/>
          <w:spacing w:val="-16"/>
          <w:sz w:val="44"/>
          <w:lang w:eastAsia="zh-CN"/>
        </w:rPr>
        <w:t>（</w:t>
      </w:r>
      <w:r>
        <w:rPr>
          <w:rFonts w:hint="eastAsia" w:ascii="方正小标宋简体" w:hAnsi="方正小标宋简体" w:eastAsia="方正小标宋简体" w:cs="方正小标宋简体"/>
          <w:b w:val="0"/>
          <w:bCs/>
          <w:spacing w:val="-16"/>
          <w:sz w:val="44"/>
          <w:lang w:val="en-US" w:eastAsia="zh-CN"/>
        </w:rPr>
        <w:t>2025年版</w:t>
      </w:r>
      <w:r>
        <w:rPr>
          <w:rFonts w:hint="eastAsia" w:ascii="方正小标宋简体" w:hAnsi="方正小标宋简体" w:eastAsia="方正小标宋简体" w:cs="方正小标宋简体"/>
          <w:b w:val="0"/>
          <w:bCs/>
          <w:spacing w:val="-16"/>
          <w:sz w:val="44"/>
          <w:lang w:eastAsia="zh-CN"/>
        </w:rPr>
        <w:t>）</w:t>
      </w:r>
      <w:bookmarkStart w:id="0" w:name="_GoBack"/>
      <w:bookmarkEnd w:id="0"/>
    </w:p>
    <w:p>
      <w:pPr>
        <w:keepNext w:val="0"/>
        <w:keepLines w:val="0"/>
        <w:pageBreakBefore w:val="0"/>
        <w:kinsoku/>
        <w:wordWrap/>
        <w:overflowPunct/>
        <w:topLinePunct w:val="0"/>
        <w:autoSpaceDE/>
        <w:bidi w:val="0"/>
        <w:adjustRightInd/>
        <w:snapToGrid/>
        <w:spacing w:line="240" w:lineRule="auto"/>
        <w:textAlignment w:val="auto"/>
        <w:rPr>
          <w:rFonts w:eastAsia="方正小标宋简体" w:cs="方正小标宋简体"/>
          <w:sz w:val="44"/>
          <w:szCs w:val="44"/>
        </w:rPr>
      </w:pP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一、抽样方法</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kern w:val="0"/>
          <w:sz w:val="32"/>
          <w:szCs w:val="32"/>
          <w:lang w:val="en-US" w:eastAsia="zh-CN" w:bidi="ar-SA"/>
        </w:rPr>
      </w:pPr>
      <w:r>
        <w:rPr>
          <w:rFonts w:hint="eastAsia" w:ascii="仿宋_GB2312" w:hAnsi="Calibri" w:eastAsia="仿宋_GB2312" w:cs="Times New Roman"/>
          <w:kern w:val="0"/>
          <w:sz w:val="32"/>
          <w:szCs w:val="32"/>
          <w:lang w:val="en-US" w:eastAsia="zh-CN" w:bidi="ar-SA"/>
        </w:rPr>
        <w:t>以随机抽样的方式在被抽查市场主体的待销产品中抽取</w:t>
      </w:r>
      <w:r>
        <w:rPr>
          <w:rFonts w:hint="eastAsia" w:ascii="仿宋_GB2312" w:hAnsi="Calibri" w:cs="Times New Roman"/>
          <w:kern w:val="0"/>
          <w:sz w:val="32"/>
          <w:szCs w:val="32"/>
          <w:lang w:val="en-US" w:eastAsia="zh-CN" w:bidi="ar-SA"/>
        </w:rPr>
        <w:t>样本</w:t>
      </w:r>
      <w:r>
        <w:rPr>
          <w:rFonts w:hint="eastAsia" w:ascii="仿宋_GB2312" w:hAnsi="Calibri" w:eastAsia="仿宋_GB2312" w:cs="Times New Roman"/>
          <w:kern w:val="0"/>
          <w:sz w:val="32"/>
          <w:szCs w:val="32"/>
          <w:lang w:val="en-US" w:eastAsia="zh-CN" w:bidi="ar-SA"/>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kern w:val="0"/>
          <w:sz w:val="32"/>
          <w:szCs w:val="32"/>
          <w:lang w:val="en-US" w:eastAsia="zh-CN" w:bidi="ar-SA"/>
        </w:rPr>
      </w:pPr>
      <w:r>
        <w:rPr>
          <w:rFonts w:hint="eastAsia" w:ascii="仿宋_GB2312" w:hAnsi="Calibri" w:eastAsia="仿宋_GB2312" w:cs="Times New Roman"/>
          <w:kern w:val="0"/>
          <w:sz w:val="32"/>
          <w:szCs w:val="32"/>
          <w:lang w:val="en-US" w:eastAsia="zh-CN" w:bidi="ar-SA"/>
        </w:rPr>
        <w:t>随机数一般可使用随机数表等方法产生。</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s="Times New Roman"/>
          <w:kern w:val="0"/>
          <w:sz w:val="32"/>
          <w:szCs w:val="32"/>
          <w:lang w:val="en-US" w:eastAsia="zh-CN" w:bidi="ar-SA"/>
        </w:rPr>
      </w:pPr>
      <w:r>
        <w:rPr>
          <w:rFonts w:hint="eastAsia" w:eastAsia="楷体_GB2312" w:cs="楷体_GB2312"/>
        </w:rPr>
        <w:t>抽查数量：</w:t>
      </w:r>
      <w:r>
        <w:rPr>
          <w:rFonts w:hint="eastAsia" w:ascii="仿宋_GB2312" w:hAnsi="Calibri" w:eastAsia="仿宋_GB2312" w:cs="Times New Roman"/>
          <w:kern w:val="0"/>
          <w:sz w:val="32"/>
          <w:szCs w:val="32"/>
          <w:lang w:val="en-US" w:eastAsia="zh-CN" w:bidi="ar-SA"/>
        </w:rPr>
        <w:t>每款随机抽取的试样量为2组，其中1组（2瓶）作为检验样品，另1组（1瓶）作为备用样品，备用样品封存于被抽查单位。</w:t>
      </w:r>
    </w:p>
    <w:p>
      <w:pPr>
        <w:pStyle w:val="10"/>
        <w:keepNext w:val="0"/>
        <w:keepLines w:val="0"/>
        <w:pageBreakBefore w:val="0"/>
        <w:numPr>
          <w:ilvl w:val="0"/>
          <w:numId w:val="0"/>
        </w:numPr>
        <w:tabs>
          <w:tab w:val="left" w:pos="360"/>
          <w:tab w:val="left" w:pos="605"/>
        </w:tabs>
        <w:kinsoku/>
        <w:wordWrap/>
        <w:overflowPunct/>
        <w:topLinePunct w:val="0"/>
        <w:autoSpaceDE/>
        <w:autoSpaceDN/>
        <w:bidi w:val="0"/>
        <w:adjustRightInd/>
        <w:snapToGrid/>
        <w:spacing w:beforeLines="0" w:afterLines="0" w:line="240" w:lineRule="auto"/>
        <w:ind w:firstLine="640" w:firstLineChars="200"/>
        <w:textAlignment w:val="auto"/>
        <w:outlineLvl w:val="9"/>
        <w:rPr>
          <w:rFonts w:hint="eastAsia" w:ascii="仿宋_GB2312" w:eastAsia="仿宋_GB2312"/>
          <w:sz w:val="32"/>
          <w:szCs w:val="32"/>
          <w:lang w:eastAsia="zh-CN"/>
        </w:rPr>
      </w:pPr>
      <w:r>
        <w:rPr>
          <w:rFonts w:hint="eastAsia" w:ascii="Times New Roman" w:hAnsi="Times New Roman" w:eastAsia="楷体_GB2312" w:cs="楷体_GB2312"/>
          <w:sz w:val="32"/>
          <w:szCs w:val="32"/>
        </w:rPr>
        <w:t>抽样方法</w:t>
      </w:r>
      <w:r>
        <w:rPr>
          <w:rFonts w:hint="eastAsia" w:ascii="Times New Roman" w:hAnsi="Times New Roman" w:eastAsia="楷体_GB2312" w:cs="楷体_GB2312"/>
          <w:sz w:val="32"/>
          <w:szCs w:val="32"/>
          <w:lang w:eastAsia="zh-CN"/>
        </w:rPr>
        <w:t>：</w:t>
      </w:r>
      <w:r>
        <w:rPr>
          <w:rFonts w:hint="eastAsia" w:ascii="仿宋_GB2312" w:eastAsia="仿宋_GB2312"/>
          <w:sz w:val="32"/>
          <w:szCs w:val="32"/>
        </w:rPr>
        <w:t>对设有不超过4个储罐的充装单位，每个储罐都抽样（残液罐除外），对设有4个以上储罐的充装单位，随机选取4个储罐抽样。若现场有已充好的气瓶，还应从充好的气瓶</w:t>
      </w:r>
      <w:r>
        <w:rPr>
          <w:rFonts w:hint="eastAsia" w:ascii="仿宋_GB2312" w:eastAsia="仿宋_GB2312"/>
          <w:sz w:val="32"/>
          <w:szCs w:val="32"/>
          <w:lang w:eastAsia="zh-CN"/>
        </w:rPr>
        <w:t>中</w:t>
      </w:r>
      <w:r>
        <w:rPr>
          <w:rFonts w:hint="eastAsia" w:ascii="仿宋_GB2312" w:eastAsia="仿宋_GB2312"/>
          <w:sz w:val="32"/>
          <w:szCs w:val="32"/>
        </w:rPr>
        <w:t>抽样1批次。对某储罐抽样时，应在该储罐液位计的取样口抽取。对气瓶抽样时，应由充装单位确认该气瓶是在该站充装。如液化石油气生产单位不分储罐存储，则每个单位抽1批次；如分储罐存储，则每个储罐抽取1批次，但每个单位最多抽</w:t>
      </w:r>
      <w:r>
        <w:rPr>
          <w:rFonts w:hint="eastAsia" w:ascii="仿宋_GB2312" w:eastAsia="仿宋_GB2312"/>
          <w:sz w:val="32"/>
          <w:szCs w:val="32"/>
          <w:lang w:eastAsia="zh-CN"/>
        </w:rPr>
        <w:t>取</w:t>
      </w:r>
      <w:r>
        <w:rPr>
          <w:rFonts w:hint="eastAsia" w:ascii="仿宋_GB2312" w:eastAsia="仿宋_GB2312"/>
          <w:sz w:val="32"/>
          <w:szCs w:val="32"/>
        </w:rPr>
        <w:t>4批次。盛装样品的气瓶应抽真空并用待抽取的液化石油气冲洗后再装样品</w:t>
      </w:r>
      <w:r>
        <w:rPr>
          <w:rFonts w:hint="eastAsia" w:ascii="仿宋_GB2312" w:eastAsia="仿宋_GB2312"/>
          <w:sz w:val="32"/>
          <w:szCs w:val="32"/>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val="en-US" w:eastAsia="zh-CN"/>
        </w:rPr>
      </w:pPr>
      <w:r>
        <w:rPr>
          <w:rFonts w:hint="eastAsia" w:eastAsia="黑体" w:cs="黑体"/>
          <w:szCs w:val="32"/>
          <w:lang w:eastAsia="zh-CN"/>
        </w:rPr>
        <w:t>二</w:t>
      </w:r>
      <w:r>
        <w:rPr>
          <w:rFonts w:hint="eastAsia" w:eastAsia="黑体" w:cs="黑体"/>
          <w:szCs w:val="32"/>
        </w:rPr>
        <w:t>、</w:t>
      </w:r>
      <w:r>
        <w:rPr>
          <w:rFonts w:hint="eastAsia" w:ascii="黑体" w:hAnsi="黑体" w:eastAsia="黑体" w:cs="黑体"/>
          <w:sz w:val="32"/>
          <w:szCs w:val="32"/>
          <w:lang w:val="en-US" w:eastAsia="zh-CN"/>
        </w:rPr>
        <w:t>主要检验项目及检验项</w:t>
      </w:r>
      <w:r>
        <w:rPr>
          <w:rFonts w:hint="eastAsia" w:ascii="黑体" w:hAnsi="黑体" w:eastAsia="黑体" w:cs="黑体"/>
          <w:b w:val="0"/>
          <w:bCs w:val="0"/>
          <w:sz w:val="32"/>
          <w:szCs w:val="32"/>
          <w:lang w:val="en-US" w:eastAsia="zh-CN"/>
        </w:rPr>
        <w:t>目属性划分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楷体_GB2312" w:cs="楷体_GB2312"/>
        </w:rPr>
      </w:pPr>
      <w:r>
        <w:rPr>
          <w:rFonts w:hint="eastAsia" w:eastAsia="楷体_GB2312" w:cs="楷体_GB2312"/>
          <w:b w:val="0"/>
          <w:bCs w:val="0"/>
          <w:lang w:eastAsia="zh-CN"/>
        </w:rPr>
        <w:t>液化石油气</w:t>
      </w:r>
      <w:r>
        <w:rPr>
          <w:rFonts w:hint="eastAsia" w:eastAsia="楷体_GB2312" w:cs="楷体_GB2312"/>
          <w:b w:val="0"/>
          <w:bCs w:val="0"/>
        </w:rPr>
        <w:t>内在</w:t>
      </w:r>
      <w:r>
        <w:rPr>
          <w:rFonts w:hint="eastAsia" w:eastAsia="楷体_GB2312" w:cs="楷体_GB2312"/>
        </w:rPr>
        <w:t>质量检</w:t>
      </w:r>
      <w:r>
        <w:rPr>
          <w:rFonts w:hint="eastAsia" w:eastAsia="楷体_GB2312" w:cs="楷体_GB2312"/>
          <w:b w:val="0"/>
          <w:bCs w:val="0"/>
        </w:rPr>
        <w:t>验项目及其重要性划分表。</w:t>
      </w:r>
    </w:p>
    <w:tbl>
      <w:tblPr>
        <w:tblStyle w:val="5"/>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551"/>
        <w:gridCol w:w="2410"/>
        <w:gridCol w:w="612"/>
        <w:gridCol w:w="612"/>
        <w:gridCol w:w="612"/>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655"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序号</w:t>
            </w:r>
          </w:p>
        </w:tc>
        <w:tc>
          <w:tcPr>
            <w:tcW w:w="2551"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检验项目</w:t>
            </w:r>
          </w:p>
        </w:tc>
        <w:tc>
          <w:tcPr>
            <w:tcW w:w="2410"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依据法律法规或标准</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非强制性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重要项</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较重要项</w:t>
            </w:r>
          </w:p>
        </w:tc>
        <w:tc>
          <w:tcPr>
            <w:tcW w:w="612" w:type="dxa"/>
            <w:tcBorders>
              <w:top w:val="single" w:color="auto" w:sz="4" w:space="0"/>
              <w:left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1"/>
              </w:numPr>
              <w:tabs>
                <w:tab w:val="left" w:pos="310"/>
              </w:tabs>
              <w:kinsoku/>
              <w:wordWrap/>
              <w:overflowPunct/>
              <w:topLinePunct w:val="0"/>
              <w:autoSpaceDE/>
              <w:autoSpaceDN/>
              <w:bidi w:val="0"/>
              <w:spacing w:line="360" w:lineRule="auto"/>
              <w:ind w:left="0" w:firstLine="0" w:firstLineChars="0"/>
              <w:jc w:val="center"/>
              <w:textAlignment w:val="auto"/>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eastAsia="zh-CN"/>
              </w:rPr>
              <w:t>二甲醚含量</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HG/T3934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bl>
    <w:p>
      <w:pPr>
        <w:pStyle w:val="8"/>
        <w:rPr>
          <w:rFonts w:hint="eastAsia"/>
          <w:lang w:eastAsia="zh-CN"/>
        </w:rPr>
      </w:pPr>
    </w:p>
    <w:p>
      <w:pPr>
        <w:keepNext w:val="0"/>
        <w:keepLines w:val="0"/>
        <w:pageBreakBefore w:val="0"/>
        <w:kinsoku/>
        <w:wordWrap/>
        <w:overflowPunct/>
        <w:topLinePunct w:val="0"/>
        <w:autoSpaceDE/>
        <w:autoSpaceDN/>
        <w:bidi w:val="0"/>
        <w:spacing w:line="360" w:lineRule="auto"/>
        <w:ind w:firstLine="320" w:firstLineChars="100"/>
        <w:textAlignment w:val="auto"/>
        <w:rPr>
          <w:rFonts w:hint="eastAsia" w:ascii="黑体" w:hAnsi="黑体" w:eastAsia="黑体" w:cs="黑体"/>
          <w:color w:val="000000"/>
          <w:sz w:val="32"/>
          <w:szCs w:val="32"/>
        </w:rPr>
      </w:pPr>
      <w:r>
        <w:rPr>
          <w:rFonts w:hint="eastAsia" w:ascii="仿宋" w:hAnsi="仿宋" w:eastAsia="仿宋" w:cs="仿宋"/>
          <w:color w:val="000000"/>
          <w:sz w:val="32"/>
          <w:szCs w:val="32"/>
          <w:lang w:val="en-US" w:eastAsia="zh-CN"/>
        </w:rPr>
        <w:t xml:space="preserve"> </w:t>
      </w:r>
      <w:r>
        <w:rPr>
          <w:rFonts w:hint="eastAsia" w:ascii="黑体" w:hAnsi="黑体" w:eastAsia="黑体" w:cs="黑体"/>
          <w:color w:val="000000"/>
          <w:sz w:val="32"/>
          <w:szCs w:val="32"/>
        </w:rPr>
        <w:t>三、判定规则</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（一）依据标准</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GB 11174-201</w:t>
      </w:r>
      <w:r>
        <w:rPr>
          <w:rFonts w:hint="eastAsia" w:ascii="仿宋_GB2312"/>
          <w:sz w:val="32"/>
          <w:szCs w:val="32"/>
          <w:lang w:val="en-US" w:eastAsia="zh-CN"/>
        </w:rPr>
        <w:t>1</w:t>
      </w:r>
      <w:r>
        <w:rPr>
          <w:rFonts w:hint="eastAsia" w:ascii="仿宋_GB2312" w:eastAsia="仿宋_GB2312"/>
          <w:sz w:val="32"/>
          <w:szCs w:val="32"/>
          <w:lang w:val="en-US" w:eastAsia="zh-CN"/>
        </w:rPr>
        <w:t xml:space="preserve"> 《液化石油气》</w:t>
      </w:r>
    </w:p>
    <w:p>
      <w:pPr>
        <w:spacing w:line="560" w:lineRule="exact"/>
        <w:ind w:firstLine="640" w:firstLineChars="200"/>
        <w:rPr>
          <w:rFonts w:hint="eastAsia" w:ascii="仿宋_GB2312" w:hAnsi="仿宋_GB2312" w:eastAsia="仿宋_GB2312"/>
          <w:sz w:val="32"/>
        </w:rPr>
      </w:pPr>
      <w:r>
        <w:rPr>
          <w:rFonts w:hint="eastAsia" w:ascii="仿宋_GB2312" w:eastAsia="仿宋_GB2312"/>
          <w:sz w:val="32"/>
          <w:szCs w:val="32"/>
          <w:lang w:val="en-US" w:eastAsia="zh-CN"/>
        </w:rPr>
        <w:t>HG/T 3934-2007 《二甲醚》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相关的法律法规、部门规章和规范、现行有效的企业标准、团体标准、地方标准及产品明示质量要求。</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（二）判定原则</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经检验，检验项目全部合格，判定为被抽查产品合格；检验项目中任一项或一项以上不合格，判定为被抽查产品不合格。</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当被检产品明示的质量要求缺少本细则中检验项目依据的推荐性标准要求时，该项目不参与判定。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当被检样品未能提供有效的企业标准时，按相关国家或行业标准进行判定。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当被检样品标签标识中执行标准信息和产品类别信息不明或有误，影响检测和判定时，可根据产品特点等信息判断和选择相关标准进行检验，并应在检验报告中作出相关说明。</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按照产品质量相关法律法规的规定判定。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检验中发现因样品失效或者其他原因致使检验无法进行的，检验人员应如实记录，并提供相关证明材料，报送组织监督抽查的市场监管部门。</w:t>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F5666"/>
    <w:multiLevelType w:val="multilevel"/>
    <w:tmpl w:val="1DCF56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mI2ZTEyY2ZkZmFiYzBhYjA4YmZlZTgxMmZjMWMifQ=="/>
  </w:docVars>
  <w:rsids>
    <w:rsidRoot w:val="00FA122C"/>
    <w:rsid w:val="00092474"/>
    <w:rsid w:val="00381DA8"/>
    <w:rsid w:val="003B6A09"/>
    <w:rsid w:val="004017B7"/>
    <w:rsid w:val="00677471"/>
    <w:rsid w:val="00A11EB0"/>
    <w:rsid w:val="00CC2AE2"/>
    <w:rsid w:val="00DC1206"/>
    <w:rsid w:val="00DF64CE"/>
    <w:rsid w:val="00EA3AF9"/>
    <w:rsid w:val="00FA122C"/>
    <w:rsid w:val="01537940"/>
    <w:rsid w:val="021358C1"/>
    <w:rsid w:val="08731931"/>
    <w:rsid w:val="186B2B9A"/>
    <w:rsid w:val="24A34751"/>
    <w:rsid w:val="282C019E"/>
    <w:rsid w:val="38A256E7"/>
    <w:rsid w:val="3C315A4B"/>
    <w:rsid w:val="46B303F3"/>
    <w:rsid w:val="4ADC62C2"/>
    <w:rsid w:val="522D26A6"/>
    <w:rsid w:val="562F2BA3"/>
    <w:rsid w:val="590233BD"/>
    <w:rsid w:val="5DFE9913"/>
    <w:rsid w:val="61104296"/>
    <w:rsid w:val="6A9C0E67"/>
    <w:rsid w:val="6B454804"/>
    <w:rsid w:val="6EEE5A3B"/>
    <w:rsid w:val="70AE5E6A"/>
    <w:rsid w:val="76EF5982"/>
    <w:rsid w:val="7906664A"/>
    <w:rsid w:val="7B6315DB"/>
    <w:rsid w:val="FFBB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rFonts w:ascii="Times New Roman" w:hAnsi="Times New Roman" w:eastAsia="仿宋_GB2312" w:cs="Times New Roman"/>
      <w:sz w:val="18"/>
      <w:szCs w:val="24"/>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9">
    <w:name w:val="一级条标题"/>
    <w:next w:val="8"/>
    <w:qFormat/>
    <w:uiPriority w:val="0"/>
    <w:pPr>
      <w:spacing w:beforeLines="50" w:afterLines="50"/>
      <w:ind w:left="716"/>
      <w:outlineLvl w:val="2"/>
    </w:pPr>
    <w:rPr>
      <w:rFonts w:ascii="黑体" w:hAnsi="Calibri" w:eastAsia="黑体" w:cs="Times New Roman"/>
      <w:kern w:val="0"/>
      <w:sz w:val="21"/>
      <w:szCs w:val="21"/>
      <w:lang w:val="en-US" w:eastAsia="zh-CN" w:bidi="ar-SA"/>
    </w:rPr>
  </w:style>
  <w:style w:type="paragraph" w:customStyle="1" w:styleId="10">
    <w:name w:val="二级条标题"/>
    <w:basedOn w:val="9"/>
    <w:next w:val="8"/>
    <w:qFormat/>
    <w:uiPriority w:val="0"/>
    <w:pPr>
      <w:spacing w:before="50" w:after="50"/>
      <w:outlineLvl w:val="3"/>
    </w:pPr>
  </w:style>
  <w:style w:type="paragraph" w:customStyle="1" w:styleId="11">
    <w:name w:val="列出段落2"/>
    <w:basedOn w:val="1"/>
    <w:unhideWhenUsed/>
    <w:qFormat/>
    <w:uiPriority w:val="99"/>
    <w:pPr>
      <w:ind w:firstLine="420" w:firstLineChars="200"/>
    </w:pPr>
    <w:rPr>
      <w:sz w:val="30"/>
    </w:rPr>
  </w:style>
  <w:style w:type="paragraph" w:customStyle="1" w:styleId="12">
    <w:name w:val="Table Paragraph"/>
    <w:basedOn w:val="1"/>
    <w:qFormat/>
    <w:uiPriority w:val="0"/>
    <w:pPr>
      <w:jc w:val="left"/>
    </w:pPr>
    <w:rPr>
      <w:rFonts w:ascii="Calibri" w:hAnsi="Calibri"/>
      <w:kern w:val="0"/>
      <w:sz w:val="22"/>
      <w:szCs w:val="22"/>
      <w:lang w:eastAsia="en-US"/>
    </w:rPr>
  </w:style>
  <w:style w:type="character" w:customStyle="1" w:styleId="13">
    <w:name w:val="页眉 Char"/>
    <w:basedOn w:val="6"/>
    <w:link w:val="4"/>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991</Words>
  <Characters>1021</Characters>
  <Lines>23</Lines>
  <Paragraphs>6</Paragraphs>
  <TotalTime>20</TotalTime>
  <ScaleCrop>false</ScaleCrop>
  <LinksUpToDate>false</LinksUpToDate>
  <CharactersWithSpaces>1026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2020-07-23T01:55:00Z</dcterms:created>
  <dc:creator>zyw</dc:creator>
  <cp:lastModifiedBy>dxkj</cp:lastModifiedBy>
  <cp:lastPrinted>2021-03-02T01:16:00Z</cp:lastPrinted>
  <dcterms:modified xsi:type="dcterms:W3CDTF">2025-09-18T11:06:36Z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C76673DB8CC542E08340CCEEFA422192</vt:lpwstr>
  </property>
</Properties>
</file>