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600" w:lineRule="exact"/>
        <w:jc w:val="both"/>
        <w:rPr>
          <w:rFonts w:hint="eastAsia" w:ascii="黑体" w:hAnsi="黑体" w:eastAsia="黑体" w:cs="黑体"/>
          <w:lang w:val="en-US" w:eastAsia="zh-CN"/>
        </w:rPr>
      </w:pPr>
      <w:r>
        <w:rPr>
          <w:rFonts w:hint="eastAsia" w:ascii="黑体" w:hAnsi="黑体" w:eastAsia="黑体" w:cs="黑体"/>
          <w:lang w:val="en-US" w:eastAsia="zh-CN"/>
        </w:rPr>
        <w:t>附件6</w:t>
      </w:r>
    </w:p>
    <w:p>
      <w:pPr>
        <w:keepNext w:val="0"/>
        <w:keepLines w:val="0"/>
        <w:pageBreakBefore w:val="0"/>
        <w:wordWrap/>
        <w:overflowPunct/>
        <w:topLinePunct w:val="0"/>
        <w:bidi w:val="0"/>
        <w:spacing w:line="600" w:lineRule="exact"/>
        <w:jc w:val="both"/>
        <w:rPr>
          <w:rFonts w:hint="eastAsia" w:ascii="宋体" w:hAnsi="宋体" w:eastAsia="仿宋_GB2312" w:cs="仿宋_GB2312"/>
          <w:lang w:val="en-US" w:eastAsia="zh-CN"/>
        </w:rPr>
      </w:pPr>
    </w:p>
    <w:p>
      <w:pPr>
        <w:keepNext w:val="0"/>
        <w:keepLines w:val="0"/>
        <w:pageBreakBefore w:val="0"/>
        <w:wordWrap/>
        <w:overflowPunct/>
        <w:topLinePunct w:val="0"/>
        <w:bidi w:val="0"/>
        <w:spacing w:line="600" w:lineRule="exact"/>
        <w:jc w:val="center"/>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国家知识产权金融生态示范区培育及广东省数据知识产权运用项目申报指南</w:t>
      </w:r>
    </w:p>
    <w:p>
      <w:pPr>
        <w:keepNext w:val="0"/>
        <w:keepLines w:val="0"/>
        <w:pageBreakBefore w:val="0"/>
        <w:wordWrap/>
        <w:overflowPunct/>
        <w:topLinePunct w:val="0"/>
        <w:bidi w:val="0"/>
        <w:spacing w:line="600" w:lineRule="exact"/>
        <w:jc w:val="both"/>
        <w:rPr>
          <w:rFonts w:hint="eastAsia" w:ascii="宋体" w:hAnsi="宋体" w:eastAsia="仿宋_GB2312" w:cs="仿宋_GB2312"/>
          <w:lang w:val="en-US" w:eastAsia="zh-CN"/>
        </w:rPr>
      </w:pPr>
      <w:bookmarkStart w:id="0" w:name="_GoBack"/>
      <w:bookmarkEnd w:id="0"/>
    </w:p>
    <w:p>
      <w:pPr>
        <w:keepNext w:val="0"/>
        <w:keepLines w:val="0"/>
        <w:pageBreakBefore w:val="0"/>
        <w:wordWrap/>
        <w:overflowPunct/>
        <w:topLinePunct w:val="0"/>
        <w:autoSpaceDE w:val="0"/>
        <w:autoSpaceDN w:val="0"/>
        <w:bidi w:val="0"/>
        <w:adjustRightInd w:val="0"/>
        <w:snapToGrid w:val="0"/>
        <w:spacing w:line="600" w:lineRule="exact"/>
        <w:ind w:firstLine="640" w:firstLineChars="200"/>
        <w:jc w:val="both"/>
        <w:rPr>
          <w:rFonts w:hint="eastAsia" w:ascii="宋体" w:hAnsi="宋体" w:eastAsia="黑体" w:cs="黑体"/>
          <w:lang w:val="en-US" w:eastAsia="zh-CN"/>
        </w:rPr>
      </w:pPr>
      <w:r>
        <w:rPr>
          <w:rFonts w:hint="eastAsia" w:ascii="宋体" w:hAnsi="宋体" w:eastAsia="黑体" w:cs="黑体"/>
          <w:lang w:val="en-US" w:eastAsia="zh-CN"/>
        </w:rPr>
        <w:t>一、项目名称</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afterLines="0" w:line="600" w:lineRule="exact"/>
        <w:ind w:firstLine="640" w:firstLineChars="200"/>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国家知识产权金融生态示范区培育及广东省数据知识产权运用项目</w:t>
      </w:r>
    </w:p>
    <w:p>
      <w:pPr>
        <w:keepNext w:val="0"/>
        <w:keepLines w:val="0"/>
        <w:pageBreakBefore w:val="0"/>
        <w:wordWrap/>
        <w:overflowPunct/>
        <w:topLinePunct w:val="0"/>
        <w:autoSpaceDE w:val="0"/>
        <w:autoSpaceDN w:val="0"/>
        <w:bidi w:val="0"/>
        <w:adjustRightInd w:val="0"/>
        <w:snapToGrid w:val="0"/>
        <w:spacing w:line="600" w:lineRule="exact"/>
        <w:ind w:firstLine="640" w:firstLineChars="200"/>
        <w:jc w:val="both"/>
        <w:rPr>
          <w:rFonts w:hint="eastAsia" w:ascii="宋体" w:hAnsi="宋体" w:eastAsia="黑体" w:cs="黑体"/>
          <w:lang w:val="en-US" w:eastAsia="zh-CN"/>
        </w:rPr>
      </w:pPr>
      <w:r>
        <w:rPr>
          <w:rFonts w:hint="eastAsia" w:ascii="宋体" w:hAnsi="宋体" w:eastAsia="黑体" w:cs="黑体"/>
          <w:lang w:val="en-US" w:eastAsia="zh-CN"/>
        </w:rPr>
        <w:t>二、项目目标</w:t>
      </w:r>
    </w:p>
    <w:p>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600" w:lineRule="exact"/>
        <w:ind w:left="0" w:leftChars="0" w:firstLine="640" w:firstLineChars="200"/>
        <w:jc w:val="both"/>
        <w:textAlignment w:val="auto"/>
        <w:rPr>
          <w:rFonts w:hint="eastAsia" w:ascii="宋体" w:hAnsi="宋体" w:eastAsia="仿宋_GB2312" w:cs="Times New Roman"/>
          <w:i w:val="0"/>
          <w:iCs w:val="0"/>
          <w:caps w:val="0"/>
          <w:color w:val="333333"/>
          <w:spacing w:val="0"/>
          <w:kern w:val="0"/>
          <w:sz w:val="32"/>
          <w:szCs w:val="32"/>
          <w:shd w:val="clear" w:color="auto" w:fill="FFFFFF"/>
          <w:lang w:val="en-US" w:eastAsia="zh-CN"/>
        </w:rPr>
      </w:pPr>
      <w:r>
        <w:rPr>
          <w:rFonts w:hint="default" w:ascii="宋体" w:hAnsi="宋体" w:eastAsia="仿宋_GB2312" w:cs="仿宋_GB2312"/>
          <w:sz w:val="32"/>
          <w:szCs w:val="32"/>
          <w:lang w:val="en-US" w:eastAsia="zh-CN"/>
        </w:rPr>
        <w:t>为深入贯彻落实党中央、国务院关于知识产权工作的决策部署，贯彻落实国家金融监督管理总局、国家知识产权局、国家版权局等部委关于知识产权金融生态综合试点工作的具体安排，充分发挥知识产权金融支持科技创新和服务实体经济的重要作用，丰富知识产权金融产品，促进知识产权金融工作提质增量，设置此项目，广泛开展知识产权质押融资政策宣讲、入园惠企、银企对接等活动，宣传推广知识产权金融产品，提高普惠程度和服务效能，有效解决小微企业融资难、融资贵等问题，促进知识产权成果转化运用，加快新质生产力培育和发展，提升知识产权金融服务实体经济质效。</w:t>
      </w:r>
      <w:r>
        <w:rPr>
          <w:rFonts w:hint="eastAsia" w:ascii="宋体" w:hAnsi="宋体" w:eastAsia="仿宋_GB2312" w:cs="仿宋_GB2312"/>
          <w:sz w:val="32"/>
          <w:szCs w:val="32"/>
          <w:lang w:val="en-US" w:eastAsia="zh-CN"/>
        </w:rPr>
        <w:t xml:space="preserve"> </w:t>
      </w:r>
      <w:r>
        <w:rPr>
          <w:rFonts w:hint="eastAsia" w:ascii="宋体" w:hAnsi="宋体" w:eastAsia="仿宋_GB2312" w:cs="Times New Roman"/>
          <w:i w:val="0"/>
          <w:iCs w:val="0"/>
          <w:caps w:val="0"/>
          <w:color w:val="333333"/>
          <w:spacing w:val="0"/>
          <w:kern w:val="0"/>
          <w:sz w:val="32"/>
          <w:szCs w:val="32"/>
          <w:shd w:val="clear" w:color="auto" w:fill="FFFFFF"/>
          <w:lang w:val="en-US" w:eastAsia="zh-CN"/>
        </w:rPr>
        <w:t xml:space="preserve">   </w:t>
      </w:r>
    </w:p>
    <w:p>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600" w:lineRule="exact"/>
        <w:ind w:left="0" w:leftChars="0" w:firstLine="640" w:firstLineChars="200"/>
        <w:jc w:val="both"/>
        <w:textAlignment w:val="auto"/>
        <w:rPr>
          <w:rFonts w:hint="eastAsia" w:ascii="宋体" w:hAnsi="宋体" w:eastAsia="黑体" w:cs="黑体"/>
          <w:sz w:val="32"/>
        </w:rPr>
      </w:pPr>
      <w:r>
        <w:rPr>
          <w:rFonts w:hint="eastAsia" w:ascii="宋体" w:hAnsi="宋体" w:eastAsia="黑体" w:cs="黑体"/>
          <w:sz w:val="32"/>
          <w:lang w:val="en-US" w:eastAsia="zh-CN"/>
        </w:rPr>
        <w:t>三、</w:t>
      </w:r>
      <w:r>
        <w:rPr>
          <w:rFonts w:hint="eastAsia" w:ascii="宋体" w:hAnsi="宋体" w:eastAsia="黑体" w:cs="黑体"/>
          <w:sz w:val="32"/>
        </w:rPr>
        <w:t>项目任务</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afterLines="0" w:line="600" w:lineRule="exact"/>
        <w:ind w:firstLine="640" w:firstLineChars="200"/>
        <w:jc w:val="both"/>
        <w:textAlignment w:val="auto"/>
        <w:rPr>
          <w:rFonts w:hint="eastAsia" w:ascii="仿宋_GB2312" w:hAnsi="仿宋_GB2312" w:eastAsia="仿宋_GB2312" w:cs="仿宋_GB2312"/>
          <w:snapToGrid w:val="0"/>
          <w:color w:val="auto"/>
          <w:kern w:val="0"/>
          <w:sz w:val="32"/>
          <w:szCs w:val="32"/>
          <w:lang w:val="en-US" w:eastAsia="zh-CN" w:bidi="ar"/>
        </w:rPr>
      </w:pPr>
      <w:r>
        <w:rPr>
          <w:rFonts w:hint="eastAsia" w:ascii="仿宋_GB2312" w:hAnsi="仿宋_GB2312" w:eastAsia="仿宋_GB2312" w:cs="仿宋_GB2312"/>
          <w:snapToGrid w:val="0"/>
          <w:color w:val="auto"/>
          <w:kern w:val="0"/>
          <w:sz w:val="32"/>
          <w:szCs w:val="32"/>
          <w:lang w:val="en-US" w:eastAsia="zh-CN" w:bidi="ar"/>
        </w:rPr>
        <w:t>（一）推动知识产权质押融资服务。协助更多创新主体利用知识产权进行质押融资，组织走访不少于50家有知识产权质押融资意向的企业，为走访企业提供政策解读、流程指导、风险评估等服务。动态收集企业知识产权质押融资意向信息，定期对台账信息进行梳理分析，建立动态更新的需求台账1个。</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afterLines="0" w:line="600" w:lineRule="exact"/>
        <w:ind w:firstLine="640" w:firstLineChars="200"/>
        <w:jc w:val="both"/>
        <w:textAlignment w:val="auto"/>
        <w:rPr>
          <w:rFonts w:hint="eastAsia" w:ascii="仿宋_GB2312" w:hAnsi="仿宋_GB2312" w:eastAsia="仿宋_GB2312" w:cs="仿宋_GB2312"/>
          <w:snapToGrid w:val="0"/>
          <w:color w:val="auto"/>
          <w:kern w:val="0"/>
          <w:sz w:val="32"/>
          <w:szCs w:val="32"/>
          <w:lang w:val="en-US" w:eastAsia="zh-CN" w:bidi="ar"/>
        </w:rPr>
      </w:pPr>
      <w:r>
        <w:rPr>
          <w:rFonts w:hint="eastAsia" w:ascii="仿宋_GB2312" w:hAnsi="仿宋_GB2312" w:eastAsia="仿宋_GB2312" w:cs="仿宋_GB2312"/>
          <w:snapToGrid w:val="0"/>
          <w:color w:val="auto"/>
          <w:kern w:val="0"/>
          <w:sz w:val="32"/>
          <w:szCs w:val="32"/>
          <w:lang w:val="en-US" w:eastAsia="zh-CN" w:bidi="ar"/>
        </w:rPr>
        <w:t>（二）协助做好知识产</w:t>
      </w:r>
      <w:r>
        <w:rPr>
          <w:rFonts w:hint="eastAsia" w:ascii="仿宋_GB2312" w:hAnsi="仿宋_GB2312" w:eastAsia="仿宋_GB2312" w:cs="仿宋_GB2312"/>
          <w:snapToGrid w:val="0"/>
          <w:color w:val="auto"/>
          <w:spacing w:val="8"/>
          <w:kern w:val="0"/>
          <w:sz w:val="32"/>
          <w:szCs w:val="32"/>
          <w:lang w:val="en-US" w:eastAsia="zh-CN" w:bidi="ar"/>
        </w:rPr>
        <w:t>权质押融资提质增量工作。</w:t>
      </w:r>
      <w:r>
        <w:rPr>
          <w:rFonts w:hint="eastAsia" w:ascii="仿宋_GB2312" w:hAnsi="仿宋_GB2312" w:eastAsia="仿宋_GB2312" w:cs="仿宋_GB2312"/>
          <w:b w:val="0"/>
          <w:bCs w:val="0"/>
          <w:snapToGrid w:val="0"/>
          <w:color w:val="auto"/>
          <w:spacing w:val="8"/>
          <w:kern w:val="0"/>
          <w:sz w:val="32"/>
          <w:szCs w:val="32"/>
          <w:lang w:val="en-US" w:eastAsia="zh-CN" w:bidi="ar"/>
        </w:rPr>
        <w:t>协助企业高效对接金融机构完成50笔以上知识产权质押融资，助力本地区</w:t>
      </w:r>
      <w:r>
        <w:rPr>
          <w:rFonts w:hint="eastAsia" w:ascii="仿宋_GB2312" w:hAnsi="仿宋_GB2312" w:eastAsia="仿宋_GB2312" w:cs="仿宋_GB2312"/>
          <w:b w:val="0"/>
          <w:bCs w:val="0"/>
          <w:snapToGrid w:val="0"/>
          <w:color w:val="auto"/>
          <w:kern w:val="0"/>
          <w:sz w:val="32"/>
          <w:szCs w:val="32"/>
          <w:lang w:val="en-US" w:eastAsia="zh-CN" w:bidi="ar"/>
        </w:rPr>
        <w:t>在知识产权质押融资登记金额合理增长的基础上，满足更多中小企业创新发展需求。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napToGrid w:val="0"/>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snapToGrid w:val="0"/>
          <w:color w:val="auto"/>
          <w:kern w:val="0"/>
          <w:sz w:val="32"/>
          <w:szCs w:val="32"/>
          <w:lang w:val="en-US" w:eastAsia="zh-CN" w:bidi="ar"/>
        </w:rPr>
        <w:t>协助开展数据知识产权交易运营工作。协助金融机构开发数据知识产权交易运营产品，为创新主体提供数据知识产权交易运营服务，协助做好3单以上数据知识产权交易。</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afterLines="0"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（四）加强知识产权质押融资交流对接。结合知识产权宣传周、“知识产权服务万里行”等重大活动，</w:t>
      </w:r>
      <w:r>
        <w:rPr>
          <w:rFonts w:hint="eastAsia" w:ascii="仿宋_GB2312" w:hAnsi="仿宋_GB2312" w:eastAsia="仿宋_GB2312" w:cs="仿宋_GB2312"/>
          <w:snapToGrid w:val="0"/>
          <w:color w:val="auto"/>
          <w:kern w:val="0"/>
          <w:sz w:val="32"/>
          <w:szCs w:val="32"/>
          <w:lang w:val="en-US" w:eastAsia="zh-CN" w:bidi="ar"/>
        </w:rPr>
        <w:t>加强知识产权质押融资宣讲及业务培训，推动知识产权质押融资银企对接，</w:t>
      </w:r>
      <w:r>
        <w:rPr>
          <w:rFonts w:hint="eastAsia" w:ascii="仿宋_GB2312" w:hAnsi="仿宋_GB2312" w:eastAsia="仿宋_GB2312" w:cs="仿宋_GB2312"/>
          <w:b w:val="0"/>
          <w:bCs w:val="0"/>
          <w:color w:val="auto"/>
          <w:sz w:val="32"/>
          <w:szCs w:val="32"/>
          <w:lang w:val="en-US" w:eastAsia="zh-CN"/>
        </w:rPr>
        <w:t>协助在3个以上园区开展5场以上</w:t>
      </w:r>
      <w:r>
        <w:rPr>
          <w:rFonts w:hint="eastAsia" w:ascii="仿宋_GB2312" w:hAnsi="仿宋_GB2312" w:eastAsia="仿宋_GB2312" w:cs="仿宋_GB2312"/>
          <w:b w:val="0"/>
          <w:bCs w:val="0"/>
          <w:snapToGrid w:val="0"/>
          <w:color w:val="auto"/>
          <w:kern w:val="0"/>
          <w:sz w:val="32"/>
          <w:szCs w:val="32"/>
          <w:lang w:val="en-US" w:eastAsia="zh-CN" w:bidi="ar"/>
        </w:rPr>
        <w:t>知识产权金融机构与创新主体对接、知识产权质押融资培训、数据知识产权交易运营培训等活动，每场参加人员不少于50人。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afterLines="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促进知识产权推广运用。协助创新主体开展专利转让、许可，发动企业在“国家专利密集型产品备案认定试点平台”进行专利密集型产品备案，助力实现专利转化运用工作预期目标。引导并协助组织10家以上相关创新主体积极参与粤港澳大湾区高价值知识产权培育布局大赛、粤东西北知识产权创新运用大赛、知识产权交易博览会等各类赛事、大型展会活动。制作发布1个宣传视频，形成1篇成效性总结宣传报道，在市级以上媒体上发布；形成不少于1个知识产权转化运用典型案例。</w:t>
      </w:r>
    </w:p>
    <w:p>
      <w:pPr>
        <w:keepNext w:val="0"/>
        <w:keepLines w:val="0"/>
        <w:pageBreakBefore w:val="0"/>
        <w:widowControl w:val="0"/>
        <w:numPr>
          <w:ilvl w:val="-1"/>
          <w:numId w:val="0"/>
        </w:numPr>
        <w:kinsoku/>
        <w:wordWrap/>
        <w:overflowPunct/>
        <w:topLinePunct w:val="0"/>
        <w:bidi w:val="0"/>
        <w:spacing w:beforeLines="0" w:afterLines="0" w:line="600" w:lineRule="exact"/>
        <w:ind w:left="0" w:leftChars="0" w:firstLine="640" w:firstLineChars="200"/>
        <w:jc w:val="both"/>
        <w:textAlignment w:val="auto"/>
        <w:rPr>
          <w:rFonts w:hint="eastAsia" w:ascii="宋体" w:hAnsi="宋体" w:eastAsia="黑体" w:cs="黑体"/>
          <w:sz w:val="32"/>
        </w:rPr>
      </w:pPr>
      <w:r>
        <w:rPr>
          <w:rFonts w:hint="eastAsia" w:ascii="宋体" w:hAnsi="宋体" w:eastAsia="黑体" w:cs="黑体"/>
          <w:sz w:val="32"/>
          <w:lang w:val="en-US" w:eastAsia="zh-CN"/>
        </w:rPr>
        <w:t>四、</w:t>
      </w:r>
      <w:r>
        <w:rPr>
          <w:rFonts w:hint="eastAsia" w:ascii="宋体" w:hAnsi="宋体" w:eastAsia="黑体" w:cs="黑体"/>
          <w:sz w:val="32"/>
        </w:rPr>
        <w:t>申报主体及条件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b w:val="0"/>
          <w:bCs/>
          <w:color w:val="auto"/>
          <w:sz w:val="32"/>
          <w:szCs w:val="32"/>
          <w:lang w:eastAsia="zh-CN"/>
        </w:rPr>
      </w:pPr>
      <w:r>
        <w:rPr>
          <w:rFonts w:hint="eastAsia" w:ascii="宋体" w:hAnsi="宋体" w:eastAsia="仿宋_GB2312" w:cs="仿宋_GB2312"/>
          <w:b w:val="0"/>
          <w:bCs/>
          <w:color w:val="auto"/>
          <w:sz w:val="32"/>
          <w:szCs w:val="32"/>
          <w:lang w:eastAsia="zh-CN"/>
        </w:rPr>
        <w:t>（一）</w:t>
      </w:r>
      <w:r>
        <w:rPr>
          <w:rFonts w:hint="eastAsia" w:ascii="宋体" w:hAnsi="宋体" w:eastAsia="仿宋_GB2312" w:cs="仿宋_GB2312"/>
          <w:b w:val="0"/>
          <w:bCs/>
          <w:color w:val="auto"/>
          <w:sz w:val="32"/>
          <w:szCs w:val="32"/>
        </w:rPr>
        <w:t>申报主体：</w:t>
      </w:r>
      <w:r>
        <w:rPr>
          <w:rFonts w:hint="eastAsia" w:ascii="宋体" w:hAnsi="宋体" w:eastAsia="仿宋_GB2312" w:cs="仿宋_GB2312"/>
          <w:color w:val="auto"/>
          <w:sz w:val="32"/>
          <w:szCs w:val="32"/>
          <w:lang w:val="en-US" w:eastAsia="zh-CN"/>
        </w:rPr>
        <w:t>省内依法登记注册、具备合法资质的相关产业园区、技术创新中心、产学研基地，高等院校、科研机构、医疗机构、重点实验室、企业，各类</w:t>
      </w:r>
      <w:r>
        <w:rPr>
          <w:rFonts w:hint="default" w:ascii="宋体" w:hAnsi="宋体" w:eastAsia="仿宋_GB2312" w:cs="仿宋_GB2312"/>
          <w:color w:val="auto"/>
          <w:sz w:val="32"/>
          <w:szCs w:val="32"/>
          <w:lang w:val="en-US" w:eastAsia="zh-CN"/>
        </w:rPr>
        <w:t>技术转移转化中心或平台</w:t>
      </w:r>
      <w:r>
        <w:rPr>
          <w:rFonts w:hint="eastAsia" w:ascii="宋体" w:hAnsi="宋体" w:eastAsia="仿宋_GB2312" w:cs="仿宋_GB2312"/>
          <w:color w:val="auto"/>
          <w:sz w:val="32"/>
          <w:szCs w:val="32"/>
          <w:lang w:val="en-US" w:eastAsia="zh-CN"/>
        </w:rPr>
        <w:t>、</w:t>
      </w:r>
      <w:r>
        <w:rPr>
          <w:rFonts w:hint="default" w:ascii="宋体" w:hAnsi="宋体" w:eastAsia="仿宋_GB2312" w:cs="仿宋_GB2312"/>
          <w:color w:val="auto"/>
          <w:sz w:val="32"/>
          <w:szCs w:val="32"/>
          <w:lang w:val="en-US" w:eastAsia="zh-CN"/>
        </w:rPr>
        <w:t>知识产权服务机构</w:t>
      </w:r>
      <w:r>
        <w:rPr>
          <w:rFonts w:hint="eastAsia" w:ascii="宋体" w:hAnsi="宋体" w:eastAsia="仿宋_GB2312" w:cs="仿宋_GB2312"/>
          <w:color w:val="auto"/>
          <w:sz w:val="32"/>
          <w:szCs w:val="32"/>
          <w:lang w:val="en-US" w:eastAsia="zh-CN"/>
        </w:rPr>
        <w:t>、相关产业领域行业组织，相关金融机构</w:t>
      </w:r>
      <w:r>
        <w:rPr>
          <w:rFonts w:hint="default" w:ascii="宋体" w:hAnsi="宋体" w:eastAsia="仿宋_GB2312" w:cs="仿宋_GB2312"/>
          <w:color w:val="auto"/>
          <w:sz w:val="32"/>
          <w:szCs w:val="32"/>
          <w:lang w:val="en-US" w:eastAsia="zh-CN"/>
        </w:rPr>
        <w:t>等</w:t>
      </w:r>
      <w:r>
        <w:rPr>
          <w:rFonts w:hint="eastAsia" w:ascii="宋体" w:hAnsi="宋体" w:eastAsia="仿宋_GB2312" w:cs="仿宋_GB2312"/>
          <w:color w:val="auto"/>
          <w:sz w:val="32"/>
          <w:szCs w:val="32"/>
          <w:lang w:val="en-US" w:eastAsia="zh-CN"/>
        </w:rPr>
        <w:t>申报。</w:t>
      </w:r>
    </w:p>
    <w:p>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二）申报条件：申报单位应当具备实施项目所必须的实施条件和所要求各项任务的能力，具有良好的信用记录、资金、财政状况和健全的管理制度，有固定工作场所和专人负责项目实施，在经营活动中没有重大违法记录，能遵守专项资金管理有关规定，能按时、保质保量完成项目任务。已经承担省、市、县同类型项目且尚未验收或验收不合格的，不得申报。所在产业领域知识产权金融资源丰富，熟悉相关产业领域专利、商标、数据知识产权布局情况，有能力挖掘领域内的专利、商标、数据知识产权等开展知识产权质押融资、保险、证券化等业务。</w:t>
      </w:r>
      <w:r>
        <w:rPr>
          <w:rFonts w:hint="default" w:ascii="宋体" w:hAnsi="宋体" w:eastAsia="仿宋_GB2312" w:cs="仿宋_GB2312"/>
          <w:color w:val="auto"/>
          <w:sz w:val="32"/>
          <w:szCs w:val="32"/>
          <w:lang w:val="en-US" w:eastAsia="zh-CN"/>
        </w:rPr>
        <w:t>各申报单位根据自身情况，</w:t>
      </w:r>
      <w:r>
        <w:rPr>
          <w:rFonts w:hint="default" w:ascii="仿宋_GB2312" w:hAnsi="仿宋_GB2312" w:eastAsia="仿宋_GB2312" w:cs="仿宋_GB2312"/>
          <w:color w:val="auto"/>
          <w:sz w:val="32"/>
          <w:szCs w:val="32"/>
          <w:lang w:val="en-US" w:eastAsia="zh-CN"/>
        </w:rPr>
        <w:t>各申报单位根据自身情况，选择不超过</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个</w:t>
      </w:r>
      <w:r>
        <w:rPr>
          <w:rFonts w:hint="eastAsia" w:ascii="仿宋_GB2312" w:hAnsi="仿宋_GB2312" w:eastAsia="仿宋_GB2312" w:cs="仿宋_GB2312"/>
          <w:color w:val="auto"/>
          <w:sz w:val="32"/>
          <w:szCs w:val="32"/>
          <w:lang w:val="en-US" w:eastAsia="zh-CN"/>
        </w:rPr>
        <w:t>地</w:t>
      </w:r>
      <w:r>
        <w:rPr>
          <w:rFonts w:hint="default" w:ascii="仿宋_GB2312" w:hAnsi="仿宋_GB2312" w:eastAsia="仿宋_GB2312" w:cs="仿宋_GB2312"/>
          <w:color w:val="auto"/>
          <w:sz w:val="32"/>
          <w:szCs w:val="32"/>
          <w:lang w:val="en-US" w:eastAsia="zh-CN"/>
        </w:rPr>
        <w:t>市（不含深圳市）</w:t>
      </w:r>
      <w:r>
        <w:rPr>
          <w:rFonts w:hint="eastAsia" w:ascii="仿宋_GB2312" w:hAnsi="仿宋_GB2312" w:eastAsia="仿宋_GB2312" w:cs="仿宋_GB2312"/>
          <w:color w:val="auto"/>
          <w:sz w:val="32"/>
          <w:szCs w:val="32"/>
          <w:lang w:val="en-US" w:eastAsia="zh-CN"/>
        </w:rPr>
        <w:t>、每个地市不超过2类项目</w:t>
      </w:r>
      <w:r>
        <w:rPr>
          <w:rFonts w:hint="default" w:ascii="仿宋_GB2312" w:hAnsi="仿宋_GB2312" w:eastAsia="仿宋_GB2312" w:cs="仿宋_GB2312"/>
          <w:color w:val="auto"/>
          <w:sz w:val="32"/>
          <w:szCs w:val="32"/>
          <w:lang w:val="en-US" w:eastAsia="zh-CN"/>
        </w:rPr>
        <w:t>进行申报</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如后续检查时发现有未遵守承诺的情况，取消该单位项目</w:t>
      </w:r>
      <w:r>
        <w:rPr>
          <w:rFonts w:hint="eastAsia" w:ascii="仿宋_GB2312" w:hAnsi="仿宋_GB2312" w:eastAsia="仿宋_GB2312" w:cs="仿宋_GB2312"/>
          <w:color w:val="auto"/>
          <w:sz w:val="32"/>
          <w:szCs w:val="32"/>
          <w:lang w:val="en-US" w:eastAsia="zh-CN"/>
        </w:rPr>
        <w:t>储备</w:t>
      </w:r>
      <w:r>
        <w:rPr>
          <w:rFonts w:hint="default" w:ascii="仿宋_GB2312" w:hAnsi="仿宋_GB2312" w:eastAsia="仿宋_GB2312" w:cs="仿宋_GB2312"/>
          <w:color w:val="auto"/>
          <w:sz w:val="32"/>
          <w:szCs w:val="32"/>
          <w:lang w:val="en-US" w:eastAsia="zh-CN"/>
        </w:rPr>
        <w:t>资格。</w:t>
      </w:r>
    </w:p>
    <w:p>
      <w:pPr>
        <w:keepNext w:val="0"/>
        <w:keepLines w:val="0"/>
        <w:pageBreakBefore w:val="0"/>
        <w:widowControl w:val="0"/>
        <w:numPr>
          <w:ilvl w:val="0"/>
          <w:numId w:val="0"/>
        </w:numPr>
        <w:kinsoku/>
        <w:wordWrap/>
        <w:overflowPunct/>
        <w:topLinePunct w:val="0"/>
        <w:bidi w:val="0"/>
        <w:spacing w:beforeLines="0" w:afterLines="0" w:line="600" w:lineRule="exact"/>
        <w:ind w:firstLine="640" w:firstLineChars="200"/>
        <w:jc w:val="both"/>
        <w:textAlignment w:val="auto"/>
        <w:rPr>
          <w:rFonts w:hint="eastAsia" w:ascii="宋体" w:hAnsi="宋体" w:eastAsia="黑体" w:cs="黑体"/>
          <w:sz w:val="32"/>
        </w:rPr>
      </w:pPr>
      <w:r>
        <w:rPr>
          <w:rFonts w:hint="eastAsia" w:ascii="宋体" w:hAnsi="宋体" w:eastAsia="黑体" w:cs="黑体"/>
          <w:sz w:val="32"/>
        </w:rPr>
        <w:t>五、申报材料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（一）《2026年河源市知识产权促进类储备项目申报书》；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（二）主体资格登记证明、银行开户许可证复印件；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（三）相关资质和经验证明材料；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（四）近两年的财务报表；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（五）其他证明申报单位条件及优势的佐证材料。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32"/>
          <w:szCs w:val="32"/>
          <w:lang w:val="en-US" w:eastAsia="zh-CN"/>
        </w:rPr>
        <w:t>上述材料均需加盖公章并在申报材料加盖骑缝章。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宋体" w:hAnsi="宋体" w:eastAsia="仿宋_GB2312" w:cs="仿宋_GB2312"/>
          <w:color w:val="auto"/>
          <w:sz w:val="32"/>
          <w:szCs w:val="32"/>
          <w:u w:val="none"/>
          <w:lang w:val="en-US" w:eastAsia="zh-CN"/>
        </w:rPr>
      </w:pPr>
      <w:r>
        <w:rPr>
          <w:rFonts w:hint="eastAsia" w:ascii="宋体" w:hAnsi="宋体" w:eastAsia="黑体" w:cs="Times New Roman"/>
          <w:color w:val="auto"/>
          <w:sz w:val="32"/>
          <w:szCs w:val="32"/>
          <w:lang w:val="en-US" w:eastAsia="zh-CN"/>
        </w:rPr>
        <w:t>六、</w:t>
      </w:r>
      <w:r>
        <w:rPr>
          <w:rFonts w:hint="eastAsia" w:ascii="宋体" w:hAnsi="宋体" w:eastAsia="黑体"/>
          <w:color w:val="auto"/>
          <w:sz w:val="32"/>
          <w:lang w:val="en-US" w:eastAsia="zh-CN"/>
        </w:rPr>
        <w:t>经费安排</w:t>
      </w:r>
      <w:r>
        <w:rPr>
          <w:rFonts w:hint="eastAsia" w:ascii="宋体" w:hAnsi="宋体" w:eastAsia="黑体"/>
          <w:color w:val="auto"/>
          <w:sz w:val="32"/>
          <w:lang w:eastAsia="zh-CN"/>
        </w:rPr>
        <w:t>及实施期限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32"/>
          <w:szCs w:val="32"/>
          <w:u w:val="none"/>
          <w:lang w:val="en-US" w:eastAsia="zh-CN"/>
        </w:rPr>
        <w:t>支持项目1项，经费安排约40</w:t>
      </w:r>
      <w:r>
        <w:rPr>
          <w:rFonts w:hint="eastAsia" w:ascii="仿宋_GB2312" w:hAnsi="仿宋_GB2312" w:eastAsia="仿宋_GB2312" w:cs="仿宋_GB2312"/>
          <w:color w:val="auto"/>
          <w:sz w:val="32"/>
          <w:szCs w:val="32"/>
          <w:lang w:val="en-US" w:eastAsia="zh-CN"/>
        </w:rPr>
        <w:t>万元（经费根据最终批复预算为准）。所有项目任务原则上需在2026年完成。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56D1DF-B95B-4899-BA5E-D1E6967D26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D3B47B5-7A65-4116-B1D4-0A31DD41075B}"/>
  </w:font>
  <w:font w:name="方正小标宋_GBK">
    <w:panose1 w:val="02000000000000000000"/>
    <w:charset w:val="86"/>
    <w:family w:val="auto"/>
    <w:pitch w:val="default"/>
    <w:sig w:usb0="A00002BF" w:usb1="38CF7CFA" w:usb2="00082016" w:usb3="00000000" w:csb0="00040001" w:csb1="00000000"/>
    <w:embedRegular r:id="rId3" w:fontKey="{34170F86-8655-441B-82B3-EABC2534132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34F33A5"/>
    <w:rsid w:val="152D2B73"/>
    <w:rsid w:val="38EE6366"/>
    <w:rsid w:val="3DFF6B37"/>
    <w:rsid w:val="3EC64430"/>
    <w:rsid w:val="4A373BDD"/>
    <w:rsid w:val="4FCF437F"/>
    <w:rsid w:val="4FDE88B2"/>
    <w:rsid w:val="57BE4A04"/>
    <w:rsid w:val="59FFC2E8"/>
    <w:rsid w:val="5DF53718"/>
    <w:rsid w:val="5DFB5BEE"/>
    <w:rsid w:val="5DFFBBF4"/>
    <w:rsid w:val="5EBF0A26"/>
    <w:rsid w:val="5EF801CB"/>
    <w:rsid w:val="69FF44EF"/>
    <w:rsid w:val="6BF79FE0"/>
    <w:rsid w:val="6FA8FF5F"/>
    <w:rsid w:val="6FC519D7"/>
    <w:rsid w:val="73D84459"/>
    <w:rsid w:val="73EDF71C"/>
    <w:rsid w:val="75AD682B"/>
    <w:rsid w:val="75BBFF21"/>
    <w:rsid w:val="75CE4322"/>
    <w:rsid w:val="75EF676B"/>
    <w:rsid w:val="76026301"/>
    <w:rsid w:val="77FB7092"/>
    <w:rsid w:val="7BC74E88"/>
    <w:rsid w:val="7BE3F087"/>
    <w:rsid w:val="7BFDD160"/>
    <w:rsid w:val="7CA15C24"/>
    <w:rsid w:val="7DFD835E"/>
    <w:rsid w:val="7E7ECC67"/>
    <w:rsid w:val="7EDC03C7"/>
    <w:rsid w:val="7F7B190B"/>
    <w:rsid w:val="7FBB63BA"/>
    <w:rsid w:val="7FEB9EAF"/>
    <w:rsid w:val="7FED6355"/>
    <w:rsid w:val="7FEFC602"/>
    <w:rsid w:val="8F7E0491"/>
    <w:rsid w:val="9FADF6A2"/>
    <w:rsid w:val="A77F6BD2"/>
    <w:rsid w:val="ABFBFE3D"/>
    <w:rsid w:val="B7DF386C"/>
    <w:rsid w:val="B7F14471"/>
    <w:rsid w:val="BFBC2F51"/>
    <w:rsid w:val="BFD96B40"/>
    <w:rsid w:val="BFF82897"/>
    <w:rsid w:val="BFF99CB4"/>
    <w:rsid w:val="CFFD351C"/>
    <w:rsid w:val="D5E75E78"/>
    <w:rsid w:val="DEA7B56C"/>
    <w:rsid w:val="DFF79763"/>
    <w:rsid w:val="E9EF40BE"/>
    <w:rsid w:val="EE7C406D"/>
    <w:rsid w:val="EFDFBEEB"/>
    <w:rsid w:val="EFFB56FB"/>
    <w:rsid w:val="F5BF5C86"/>
    <w:rsid w:val="F7FF4635"/>
    <w:rsid w:val="F7FF86B5"/>
    <w:rsid w:val="F9BB9343"/>
    <w:rsid w:val="FBDD81F8"/>
    <w:rsid w:val="FBFF8F40"/>
    <w:rsid w:val="FE77D3DC"/>
    <w:rsid w:val="FED765D3"/>
    <w:rsid w:val="FF125AAC"/>
    <w:rsid w:val="FF2395F4"/>
    <w:rsid w:val="FFBE6DB3"/>
    <w:rsid w:val="FFDE996D"/>
    <w:rsid w:val="FFFE5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仿宋_GB2312"/>
      <w:snapToGrid w:val="0"/>
      <w:color w:val="000000"/>
      <w:kern w:val="0"/>
      <w:sz w:val="32"/>
      <w:szCs w:val="32"/>
      <w:lang w:val="en-US" w:eastAsia="en-US"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河源市市场监管局</Company>
  <Pages>1</Pages>
  <Words>0</Words>
  <Characters>0</Characters>
  <Lines>0</Lines>
  <Paragraphs>0</Paragraphs>
  <TotalTime>6</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2025-07-16T16:47:00Z</dcterms:created>
  <dc:creator>LM</dc:creator>
  <cp:lastModifiedBy>LM</cp:lastModifiedBy>
  <dcterms:modified xsi:type="dcterms:W3CDTF">2025-08-05T08:31:12Z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7D7F6441A8DD1354B541836814CCC172</vt:lpwstr>
  </property>
</Properties>
</file>