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0F6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创艺简标宋" w:eastAsia="方正小标宋简体" w:cs="创艺简标宋"/>
          <w:color w:val="000000"/>
          <w:sz w:val="44"/>
          <w:szCs w:val="44"/>
        </w:rPr>
      </w:pPr>
      <w:r>
        <w:rPr>
          <w:rFonts w:hint="eastAsia" w:ascii="方正小标宋简体" w:hAnsi="创艺简标宋" w:eastAsia="方正小标宋简体" w:cs="创艺简标宋"/>
          <w:color w:val="000000"/>
          <w:sz w:val="44"/>
          <w:szCs w:val="44"/>
        </w:rPr>
        <w:t>河源市</w:t>
      </w:r>
      <w:r>
        <w:rPr>
          <w:rFonts w:hint="eastAsia" w:ascii="方正小标宋简体" w:hAnsi="创艺简标宋" w:eastAsia="方正小标宋简体" w:cs="创艺简标宋"/>
          <w:color w:val="000000"/>
          <w:sz w:val="44"/>
          <w:szCs w:val="44"/>
          <w:lang w:eastAsia="zh-CN"/>
        </w:rPr>
        <w:t>2025</w:t>
      </w:r>
      <w:r>
        <w:rPr>
          <w:rFonts w:hint="eastAsia" w:ascii="方正小标宋简体" w:hAnsi="创艺简标宋" w:eastAsia="方正小标宋简体" w:cs="创艺简标宋"/>
          <w:color w:val="000000"/>
          <w:sz w:val="44"/>
          <w:szCs w:val="44"/>
        </w:rPr>
        <w:t>年度地质灾害防治方案</w:t>
      </w:r>
    </w:p>
    <w:p w14:paraId="357B310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color w:val="000000"/>
          <w:szCs w:val="32"/>
        </w:rPr>
      </w:pPr>
    </w:p>
    <w:p w14:paraId="189A393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为切实做好全市</w:t>
      </w:r>
      <w:r>
        <w:rPr>
          <w:rFonts w:hint="eastAsia" w:ascii="仿宋_GB2312" w:hAnsi="仿宋_GB2312" w:cs="仿宋_GB2312"/>
          <w:color w:val="000000"/>
          <w:szCs w:val="32"/>
          <w:lang w:eastAsia="zh-CN"/>
        </w:rPr>
        <w:t>2025</w:t>
      </w:r>
      <w:r>
        <w:rPr>
          <w:rFonts w:hint="eastAsia" w:ascii="仿宋_GB2312" w:hAnsi="仿宋_GB2312" w:cs="仿宋_GB2312"/>
          <w:color w:val="000000"/>
          <w:szCs w:val="32"/>
        </w:rPr>
        <w:t>年度地质灾害防治工作，减少或避免地质灾害造成人员伤亡和经济损失，确保人民群众生命财产安全，促进经济社会可持续发展</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根据《中华人民共和国突发事件应对法》《地质灾害防治条例》《广东省地质环境管理条例》《广东省人民政府关于进一步加强我省地质灾害防治工作意见》《河源市突发地质灾害应急预案（修订）》等有关要求，结合我市实际，制定本方案。</w:t>
      </w:r>
    </w:p>
    <w:p w14:paraId="268AC49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color w:val="000000"/>
          <w:szCs w:val="32"/>
        </w:rPr>
      </w:pPr>
      <w:r>
        <w:rPr>
          <w:rFonts w:hint="eastAsia" w:ascii="黑体" w:hAnsi="黑体" w:eastAsia="黑体" w:cs="黑体"/>
          <w:color w:val="000000"/>
          <w:szCs w:val="32"/>
        </w:rPr>
        <w:t>一、</w:t>
      </w:r>
      <w:r>
        <w:rPr>
          <w:rFonts w:hint="eastAsia" w:ascii="黑体" w:hAnsi="黑体" w:eastAsia="黑体" w:cs="黑体"/>
          <w:color w:val="000000"/>
          <w:szCs w:val="32"/>
          <w:lang w:eastAsia="zh-CN"/>
        </w:rPr>
        <w:t>202</w:t>
      </w:r>
      <w:r>
        <w:rPr>
          <w:rFonts w:hint="eastAsia" w:ascii="黑体" w:hAnsi="黑体" w:eastAsia="黑体" w:cs="黑体"/>
          <w:color w:val="000000"/>
          <w:szCs w:val="32"/>
          <w:lang w:val="en-US" w:eastAsia="zh-CN"/>
        </w:rPr>
        <w:t>5</w:t>
      </w:r>
      <w:r>
        <w:rPr>
          <w:rFonts w:hint="eastAsia" w:ascii="黑体" w:hAnsi="黑体" w:eastAsia="黑体" w:cs="黑体"/>
          <w:color w:val="000000"/>
          <w:szCs w:val="32"/>
        </w:rPr>
        <w:t>年全市地质灾害概况</w:t>
      </w:r>
    </w:p>
    <w:p w14:paraId="0FD8398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szCs w:val="32"/>
        </w:rPr>
      </w:pPr>
      <w:r>
        <w:rPr>
          <w:rFonts w:hint="eastAsia" w:ascii="Times New Roman" w:hAnsi="Times New Roman" w:eastAsia="楷体_GB2312"/>
          <w:color w:val="000000" w:themeColor="text1"/>
          <w:szCs w:val="32"/>
          <w:lang w:eastAsia="zh-CN"/>
          <w14:textFill>
            <w14:solidFill>
              <w14:schemeClr w14:val="tx1"/>
            </w14:solidFill>
          </w14:textFill>
        </w:rPr>
        <w:t>（一）隐患点现状概况。</w:t>
      </w:r>
      <w:r>
        <w:rPr>
          <w:rFonts w:hint="eastAsia" w:ascii="仿宋_GB2312" w:hAnsi="仿宋_GB2312" w:cs="仿宋_GB2312"/>
          <w:color w:val="000000"/>
          <w:szCs w:val="32"/>
        </w:rPr>
        <w:t>我市地质灾害呈点多、面广、规模小、危害大等特点。截至</w:t>
      </w:r>
      <w:r>
        <w:rPr>
          <w:rFonts w:hint="eastAsia" w:ascii="仿宋_GB2312" w:hAnsi="仿宋_GB2312" w:cs="仿宋_GB2312"/>
          <w:color w:val="000000"/>
          <w:szCs w:val="32"/>
          <w:lang w:eastAsia="zh-CN"/>
        </w:rPr>
        <w:t>202</w:t>
      </w:r>
      <w:r>
        <w:rPr>
          <w:rFonts w:hint="eastAsia" w:ascii="仿宋_GB2312" w:hAnsi="仿宋_GB2312" w:cs="仿宋_GB2312"/>
          <w:color w:val="000000"/>
          <w:szCs w:val="32"/>
          <w:lang w:val="en-US" w:eastAsia="zh-CN"/>
        </w:rPr>
        <w:t>5</w:t>
      </w:r>
      <w:r>
        <w:rPr>
          <w:rFonts w:hint="eastAsia" w:ascii="仿宋_GB2312" w:hAnsi="仿宋_GB2312" w:cs="仿宋_GB2312"/>
          <w:color w:val="000000"/>
          <w:szCs w:val="32"/>
        </w:rPr>
        <w:t>年</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月</w:t>
      </w:r>
      <w:r>
        <w:rPr>
          <w:rFonts w:hint="eastAsia" w:ascii="仿宋_GB2312" w:hAnsi="仿宋_GB2312" w:cs="仿宋_GB2312"/>
          <w:color w:val="000000"/>
          <w:szCs w:val="32"/>
          <w:lang w:val="en-US" w:eastAsia="zh-CN"/>
        </w:rPr>
        <w:t>31</w:t>
      </w:r>
      <w:r>
        <w:rPr>
          <w:rFonts w:hint="eastAsia" w:ascii="仿宋_GB2312" w:hAnsi="仿宋_GB2312" w:cs="仿宋_GB2312"/>
          <w:color w:val="000000"/>
          <w:szCs w:val="32"/>
        </w:rPr>
        <w:t>日，全市在册地质灾害隐患点5</w:t>
      </w:r>
      <w:r>
        <w:rPr>
          <w:rFonts w:hint="eastAsia" w:ascii="仿宋_GB2312" w:hAnsi="仿宋_GB2312" w:cs="仿宋_GB2312"/>
          <w:color w:val="000000"/>
          <w:szCs w:val="32"/>
          <w:lang w:val="en-US" w:eastAsia="zh-CN"/>
        </w:rPr>
        <w:t>75</w:t>
      </w:r>
      <w:r>
        <w:rPr>
          <w:rFonts w:hint="eastAsia" w:ascii="仿宋_GB2312" w:hAnsi="仿宋_GB2312" w:cs="仿宋_GB2312"/>
          <w:color w:val="000000"/>
          <w:szCs w:val="32"/>
        </w:rPr>
        <w:t>处，受威胁人口</w:t>
      </w:r>
      <w:r>
        <w:rPr>
          <w:rFonts w:hint="eastAsia" w:ascii="仿宋_GB2312" w:hAnsi="仿宋_GB2312" w:cs="仿宋_GB2312"/>
          <w:color w:val="000000"/>
          <w:szCs w:val="32"/>
          <w:lang w:val="en-US" w:eastAsia="zh-CN"/>
        </w:rPr>
        <w:t>58232</w:t>
      </w:r>
      <w:r>
        <w:rPr>
          <w:rFonts w:hint="eastAsia" w:ascii="仿宋_GB2312" w:hAnsi="仿宋_GB2312" w:cs="仿宋_GB2312"/>
          <w:color w:val="000000"/>
          <w:szCs w:val="32"/>
        </w:rPr>
        <w:t>人，潜在经济损失</w:t>
      </w:r>
      <w:r>
        <w:rPr>
          <w:rFonts w:hint="eastAsia" w:ascii="仿宋_GB2312" w:hAnsi="仿宋_GB2312" w:cs="仿宋_GB2312"/>
          <w:color w:val="000000"/>
          <w:szCs w:val="32"/>
          <w:lang w:val="en-US" w:eastAsia="zh-CN"/>
        </w:rPr>
        <w:t>197160</w:t>
      </w:r>
      <w:r>
        <w:rPr>
          <w:rFonts w:hint="eastAsia" w:ascii="仿宋_GB2312" w:hAnsi="仿宋_GB2312" w:cs="仿宋_GB2312"/>
          <w:color w:val="000000"/>
          <w:szCs w:val="32"/>
        </w:rPr>
        <w:t>万元</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全市威胁100人以上重要地质灾害隐患点1</w:t>
      </w:r>
      <w:r>
        <w:rPr>
          <w:rFonts w:hint="eastAsia" w:ascii="仿宋_GB2312" w:hAnsi="仿宋_GB2312" w:cs="仿宋_GB2312"/>
          <w:color w:val="000000"/>
          <w:szCs w:val="32"/>
          <w:lang w:val="en-US" w:eastAsia="zh-CN"/>
        </w:rPr>
        <w:t>49</w:t>
      </w:r>
      <w:r>
        <w:rPr>
          <w:rFonts w:hint="eastAsia" w:ascii="仿宋_GB2312" w:hAnsi="仿宋_GB2312" w:cs="仿宋_GB2312"/>
          <w:color w:val="000000"/>
          <w:szCs w:val="32"/>
        </w:rPr>
        <w:t>处，受威胁人口</w:t>
      </w:r>
      <w:r>
        <w:rPr>
          <w:rFonts w:hint="eastAsia" w:ascii="仿宋_GB2312" w:hAnsi="仿宋_GB2312" w:cs="仿宋_GB2312"/>
          <w:color w:val="000000"/>
          <w:szCs w:val="32"/>
          <w:lang w:val="en-US" w:eastAsia="zh-CN"/>
        </w:rPr>
        <w:t>48817</w:t>
      </w:r>
      <w:r>
        <w:rPr>
          <w:rFonts w:hint="eastAsia" w:ascii="仿宋_GB2312" w:hAnsi="仿宋_GB2312" w:cs="仿宋_GB2312"/>
          <w:color w:val="000000"/>
          <w:szCs w:val="32"/>
        </w:rPr>
        <w:t>人，潜在经济损失</w:t>
      </w:r>
      <w:r>
        <w:rPr>
          <w:rFonts w:hint="eastAsia" w:ascii="仿宋_GB2312" w:hAnsi="仿宋_GB2312" w:cs="仿宋_GB2312"/>
          <w:color w:val="000000"/>
          <w:szCs w:val="32"/>
          <w:lang w:val="en-US" w:eastAsia="zh-CN"/>
        </w:rPr>
        <w:t>157729</w:t>
      </w:r>
      <w:r>
        <w:rPr>
          <w:rFonts w:hint="eastAsia" w:ascii="仿宋_GB2312" w:hAnsi="仿宋_GB2312" w:cs="仿宋_GB2312"/>
          <w:color w:val="000000"/>
          <w:szCs w:val="32"/>
        </w:rPr>
        <w:t>万元（见附</w:t>
      </w:r>
      <w:r>
        <w:rPr>
          <w:rFonts w:hint="eastAsia" w:ascii="仿宋_GB2312" w:hAnsi="仿宋_GB2312" w:cs="仿宋_GB2312"/>
          <w:color w:val="000000"/>
          <w:szCs w:val="32"/>
          <w:lang w:eastAsia="zh-CN"/>
        </w:rPr>
        <w:t>件</w:t>
      </w:r>
      <w:r>
        <w:rPr>
          <w:rFonts w:hint="eastAsia" w:ascii="仿宋_GB2312" w:hAnsi="仿宋_GB2312" w:cs="仿宋_GB2312"/>
          <w:color w:val="000000"/>
          <w:szCs w:val="32"/>
        </w:rPr>
        <w:t>1）。</w:t>
      </w:r>
    </w:p>
    <w:p w14:paraId="7E69F8C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szCs w:val="32"/>
        </w:rPr>
      </w:pPr>
      <w:r>
        <w:rPr>
          <w:rFonts w:hint="eastAsia" w:ascii="Times New Roman" w:hAnsi="Times New Roman" w:eastAsia="楷体_GB2312"/>
          <w:color w:val="000000" w:themeColor="text1"/>
          <w:szCs w:val="32"/>
          <w:lang w:eastAsia="zh-CN"/>
          <w14:textFill>
            <w14:solidFill>
              <w14:schemeClr w14:val="tx1"/>
            </w14:solidFill>
          </w14:textFill>
        </w:rPr>
        <w:t>（二）发育、分布特征及成灾规律。</w:t>
      </w:r>
      <w:r>
        <w:rPr>
          <w:rFonts w:hint="eastAsia" w:ascii="仿宋_GB2312" w:hAnsi="仿宋_GB2312" w:cs="仿宋_GB2312"/>
          <w:color w:val="000000"/>
          <w:szCs w:val="32"/>
        </w:rPr>
        <w:t>我市地质灾害具有突发、多发、同发等特点，时空分布特征明显。每年汛期（4</w:t>
      </w:r>
      <w:r>
        <w:rPr>
          <w:rFonts w:hint="eastAsia" w:ascii="仿宋_GB2312" w:hAnsi="仿宋_GB2312" w:cs="仿宋_GB2312"/>
          <w:color w:val="000000"/>
          <w:szCs w:val="32"/>
          <w:lang w:val="en-US" w:eastAsia="zh-CN"/>
        </w:rPr>
        <w:t>-</w:t>
      </w:r>
      <w:r>
        <w:rPr>
          <w:rFonts w:hint="eastAsia" w:ascii="仿宋_GB2312" w:hAnsi="仿宋_GB2312" w:cs="仿宋_GB2312"/>
          <w:color w:val="000000"/>
          <w:szCs w:val="32"/>
        </w:rPr>
        <w:t>10月份）是崩塌、滑坡、泥石流等地质灾害多发、易发期，每年的枯水期（1</w:t>
      </w:r>
      <w:r>
        <w:rPr>
          <w:rFonts w:hint="eastAsia" w:ascii="仿宋_GB2312" w:hAnsi="仿宋_GB2312" w:cs="仿宋_GB2312"/>
          <w:color w:val="000000"/>
          <w:szCs w:val="32"/>
          <w:lang w:val="en-US" w:eastAsia="zh-CN"/>
        </w:rPr>
        <w:t>-</w:t>
      </w:r>
      <w:r>
        <w:rPr>
          <w:rFonts w:hint="eastAsia" w:ascii="仿宋_GB2312" w:hAnsi="仿宋_GB2312" w:cs="仿宋_GB2312"/>
          <w:color w:val="000000"/>
          <w:szCs w:val="32"/>
        </w:rPr>
        <w:t>3月、10</w:t>
      </w:r>
      <w:r>
        <w:rPr>
          <w:rFonts w:hint="eastAsia" w:ascii="仿宋_GB2312" w:hAnsi="仿宋_GB2312" w:cs="仿宋_GB2312"/>
          <w:color w:val="000000"/>
          <w:szCs w:val="32"/>
          <w:lang w:val="en-US" w:eastAsia="zh-CN"/>
        </w:rPr>
        <w:t>-</w:t>
      </w:r>
      <w:r>
        <w:rPr>
          <w:rFonts w:hint="eastAsia" w:ascii="仿宋_GB2312" w:hAnsi="仿宋_GB2312" w:cs="仿宋_GB2312"/>
          <w:color w:val="000000"/>
          <w:szCs w:val="32"/>
        </w:rPr>
        <w:t>12月）是地面塌陷的易发期。在空间上，崩塌、滑坡、泥石流等地质灾害主要分布在花岗岩风化土层覆盖区及沉积岩风化松散岩土覆盖区。</w:t>
      </w:r>
    </w:p>
    <w:p w14:paraId="0494C8F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Times New Roman" w:hAnsi="Times New Roman" w:eastAsia="楷体_GB2312"/>
          <w:color w:val="000000" w:themeColor="text1"/>
          <w:szCs w:val="32"/>
          <w:lang w:eastAsia="zh-CN"/>
          <w14:textFill>
            <w14:solidFill>
              <w14:schemeClr w14:val="tx1"/>
            </w14:solidFill>
          </w14:textFill>
        </w:rPr>
        <w:t>（三）发</w:t>
      </w:r>
      <w:r>
        <w:rPr>
          <w:rFonts w:hint="eastAsia" w:ascii="Times New Roman" w:hAnsi="Times New Roman" w:eastAsia="楷体_GB2312"/>
          <w:color w:val="000000" w:themeColor="text1"/>
          <w:szCs w:val="32"/>
          <w14:textFill>
            <w14:solidFill>
              <w14:schemeClr w14:val="tx1"/>
            </w14:solidFill>
          </w14:textFill>
        </w:rPr>
        <w:t>生灾情</w:t>
      </w:r>
      <w:r>
        <w:rPr>
          <w:rFonts w:hint="eastAsia" w:ascii="Times New Roman" w:hAnsi="Times New Roman" w:eastAsia="楷体_GB2312"/>
          <w:color w:val="000000" w:themeColor="text1"/>
          <w:szCs w:val="32"/>
          <w:lang w:eastAsia="zh-CN"/>
          <w14:textFill>
            <w14:solidFill>
              <w14:schemeClr w14:val="tx1"/>
            </w14:solidFill>
          </w14:textFill>
        </w:rPr>
        <w:t>险情</w:t>
      </w:r>
      <w:r>
        <w:rPr>
          <w:rFonts w:hint="eastAsia" w:ascii="Times New Roman" w:hAnsi="Times New Roman" w:eastAsia="楷体_GB2312"/>
          <w:color w:val="000000" w:themeColor="text1"/>
          <w:szCs w:val="32"/>
          <w14:textFill>
            <w14:solidFill>
              <w14:schemeClr w14:val="tx1"/>
            </w14:solidFill>
          </w14:textFill>
        </w:rPr>
        <w:t>概况。</w:t>
      </w:r>
      <w:r>
        <w:rPr>
          <w:rFonts w:hint="eastAsia" w:ascii="仿宋_GB2312" w:hAnsi="仿宋_GB2312" w:cs="仿宋_GB2312"/>
          <w:color w:val="000000"/>
          <w:szCs w:val="32"/>
          <w:lang w:val="en-US" w:eastAsia="zh-CN"/>
        </w:rPr>
        <w:t>2024年全年</w:t>
      </w:r>
      <w:r>
        <w:rPr>
          <w:rFonts w:hint="eastAsia" w:ascii="仿宋_GB2312" w:hAnsi="仿宋_GB2312" w:cs="仿宋_GB2312"/>
          <w:color w:val="000000" w:themeColor="text1"/>
          <w:szCs w:val="32"/>
          <w:lang w:val="en-US" w:eastAsia="zh-CN"/>
          <w14:textFill>
            <w14:solidFill>
              <w14:schemeClr w14:val="tx1"/>
            </w14:solidFill>
          </w14:textFill>
        </w:rPr>
        <w:t>发生地质灾害险情34起，</w:t>
      </w:r>
      <w:r>
        <w:rPr>
          <w:rFonts w:hint="eastAsia" w:ascii="仿宋_GB2312" w:hAnsi="仿宋_GB2312" w:cs="仿宋_GB2312"/>
          <w:color w:val="000000" w:themeColor="text1"/>
          <w:szCs w:val="32"/>
          <w14:textFill>
            <w14:solidFill>
              <w14:schemeClr w14:val="tx1"/>
            </w14:solidFill>
          </w14:textFill>
        </w:rPr>
        <w:t>地质灾害发生率比往年偏</w:t>
      </w:r>
      <w:r>
        <w:rPr>
          <w:rFonts w:hint="eastAsia" w:ascii="仿宋_GB2312" w:hAnsi="仿宋_GB2312" w:cs="仿宋_GB2312"/>
          <w:color w:val="000000" w:themeColor="text1"/>
          <w:szCs w:val="32"/>
          <w:lang w:eastAsia="zh-CN"/>
          <w14:textFill>
            <w14:solidFill>
              <w14:schemeClr w14:val="tx1"/>
            </w14:solidFill>
          </w14:textFill>
        </w:rPr>
        <w:t>高</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但未造成人员伤亡及较大经济损失</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2024</w:t>
      </w:r>
      <w:r>
        <w:rPr>
          <w:rFonts w:hint="eastAsia" w:ascii="仿宋_GB2312" w:hAnsi="仿宋_GB2312" w:cs="仿宋_GB2312"/>
          <w:color w:val="000000" w:themeColor="text1"/>
          <w:szCs w:val="32"/>
          <w14:textFill>
            <w14:solidFill>
              <w14:schemeClr w14:val="tx1"/>
            </w14:solidFill>
          </w14:textFill>
        </w:rPr>
        <w:t>年</w:t>
      </w:r>
      <w:r>
        <w:rPr>
          <w:rFonts w:hint="eastAsia" w:ascii="仿宋_GB2312" w:hAnsi="仿宋_GB2312" w:cs="仿宋_GB2312"/>
          <w:color w:val="000000" w:themeColor="text1"/>
          <w:szCs w:val="32"/>
          <w:lang w:eastAsia="zh-CN"/>
          <w14:textFill>
            <w14:solidFill>
              <w14:schemeClr w14:val="tx1"/>
            </w14:solidFill>
          </w14:textFill>
        </w:rPr>
        <w:t>至</w:t>
      </w:r>
      <w:r>
        <w:rPr>
          <w:rFonts w:hint="eastAsia" w:ascii="仿宋_GB2312" w:hAnsi="仿宋_GB2312" w:cs="仿宋_GB2312"/>
          <w:color w:val="000000" w:themeColor="text1"/>
          <w:szCs w:val="32"/>
          <w:lang w:val="en-US" w:eastAsia="zh-CN"/>
          <w14:textFill>
            <w14:solidFill>
              <w14:schemeClr w14:val="tx1"/>
            </w14:solidFill>
          </w14:textFill>
        </w:rPr>
        <w:t>2025年2月</w:t>
      </w:r>
      <w:r>
        <w:rPr>
          <w:rFonts w:hint="eastAsia" w:ascii="仿宋_GB2312" w:hAnsi="仿宋_GB2312" w:cs="仿宋_GB2312"/>
          <w:color w:val="000000" w:themeColor="text1"/>
          <w:szCs w:val="32"/>
          <w14:textFill>
            <w14:solidFill>
              <w14:schemeClr w14:val="tx1"/>
            </w14:solidFill>
          </w14:textFill>
        </w:rPr>
        <w:t>全市新增地质灾害</w:t>
      </w:r>
      <w:r>
        <w:rPr>
          <w:rFonts w:hint="eastAsia" w:ascii="仿宋_GB2312" w:hAnsi="仿宋_GB2312" w:cs="仿宋_GB2312"/>
          <w:color w:val="000000" w:themeColor="text1"/>
          <w:szCs w:val="32"/>
          <w:lang w:eastAsia="zh-CN"/>
          <w14:textFill>
            <w14:solidFill>
              <w14:schemeClr w14:val="tx1"/>
            </w14:solidFill>
          </w14:textFill>
        </w:rPr>
        <w:t>隐患点</w:t>
      </w:r>
      <w:r>
        <w:rPr>
          <w:rFonts w:hint="eastAsia" w:ascii="仿宋_GB2312" w:hAnsi="仿宋_GB2312" w:cs="仿宋_GB2312"/>
          <w:color w:val="000000" w:themeColor="text1"/>
          <w:szCs w:val="32"/>
          <w:lang w:val="en-US" w:eastAsia="zh-CN"/>
          <w14:textFill>
            <w14:solidFill>
              <w14:schemeClr w14:val="tx1"/>
            </w14:solidFill>
          </w14:textFill>
        </w:rPr>
        <w:t>64</w:t>
      </w:r>
      <w:r>
        <w:rPr>
          <w:rFonts w:hint="eastAsia" w:ascii="仿宋_GB2312" w:hAnsi="仿宋_GB2312" w:cs="仿宋_GB2312"/>
          <w:color w:val="000000" w:themeColor="text1"/>
          <w:szCs w:val="32"/>
          <w:lang w:eastAsia="zh-CN"/>
          <w14:textFill>
            <w14:solidFill>
              <w14:schemeClr w14:val="tx1"/>
            </w14:solidFill>
          </w14:textFill>
        </w:rPr>
        <w:t>处</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其中</w:t>
      </w:r>
      <w:r>
        <w:rPr>
          <w:rFonts w:hint="eastAsia" w:ascii="仿宋_GB2312" w:hAnsi="仿宋_GB2312" w:cs="仿宋_GB2312"/>
          <w:color w:val="000000" w:themeColor="text1"/>
          <w:szCs w:val="32"/>
          <w:lang w:val="en-US" w:eastAsia="zh-CN"/>
          <w14:textFill>
            <w14:solidFill>
              <w14:schemeClr w14:val="tx1"/>
            </w14:solidFill>
          </w14:textFill>
        </w:rPr>
        <w:t>58处</w:t>
      </w:r>
      <w:r>
        <w:rPr>
          <w:rFonts w:hint="eastAsia" w:ascii="仿宋_GB2312" w:hAnsi="仿宋_GB2312" w:cs="仿宋_GB2312"/>
          <w:color w:val="000000" w:themeColor="text1"/>
          <w:szCs w:val="32"/>
          <w14:textFill>
            <w14:solidFill>
              <w14:schemeClr w14:val="tx1"/>
            </w14:solidFill>
          </w14:textFill>
        </w:rPr>
        <w:t>主要</w:t>
      </w:r>
      <w:r>
        <w:rPr>
          <w:rFonts w:hint="eastAsia" w:ascii="仿宋_GB2312" w:hAnsi="仿宋_GB2312" w:cs="仿宋_GB2312"/>
          <w:color w:val="000000" w:themeColor="text1"/>
          <w:szCs w:val="32"/>
          <w:lang w:eastAsia="zh-CN"/>
          <w14:textFill>
            <w14:solidFill>
              <w14:schemeClr w14:val="tx1"/>
            </w14:solidFill>
          </w14:textFill>
        </w:rPr>
        <w:t>为</w:t>
      </w:r>
      <w:r>
        <w:rPr>
          <w:rFonts w:hint="eastAsia" w:ascii="仿宋_GB2312" w:hAnsi="仿宋_GB2312" w:cs="仿宋_GB2312"/>
          <w:color w:val="000000" w:themeColor="text1"/>
          <w:szCs w:val="32"/>
          <w:lang w:val="en-US" w:eastAsia="zh-CN"/>
          <w14:textFill>
            <w14:solidFill>
              <w14:schemeClr w14:val="tx1"/>
            </w14:solidFill>
          </w14:textFill>
        </w:rPr>
        <w:t>2022年</w:t>
      </w:r>
      <w:r>
        <w:rPr>
          <w:rFonts w:hint="eastAsia" w:ascii="仿宋_GB2312" w:hAnsi="仿宋_GB2312" w:eastAsia="仿宋_GB2312" w:cs="仿宋_GB2312"/>
          <w:color w:val="000000" w:themeColor="text1"/>
          <w:sz w:val="32"/>
          <w:szCs w:val="32"/>
          <w14:textFill>
            <w14:solidFill>
              <w14:schemeClr w14:val="tx1"/>
            </w14:solidFill>
          </w14:textFill>
        </w:rPr>
        <w:t>龙川县全县1:1万地质灾害精细化调查</w:t>
      </w:r>
      <w:r>
        <w:rPr>
          <w:rFonts w:hint="eastAsia" w:ascii="仿宋_GB2312" w:hAnsi="仿宋_GB2312" w:eastAsia="仿宋_GB2312" w:cs="仿宋_GB2312"/>
          <w:color w:val="000000" w:themeColor="text1"/>
          <w:sz w:val="32"/>
          <w:szCs w:val="32"/>
          <w:lang w:eastAsia="zh-CN"/>
          <w14:textFill>
            <w14:solidFill>
              <w14:schemeClr w14:val="tx1"/>
            </w14:solidFill>
          </w14:textFill>
        </w:rPr>
        <w:t>成果新增</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6处</w:t>
      </w:r>
      <w:r>
        <w:rPr>
          <w:rFonts w:hint="eastAsia" w:ascii="仿宋_GB2312" w:hAnsi="仿宋_GB2312" w:cs="仿宋_GB2312"/>
          <w:color w:val="000000" w:themeColor="text1"/>
          <w:szCs w:val="32"/>
          <w14:textFill>
            <w14:solidFill>
              <w14:schemeClr w14:val="tx1"/>
            </w14:solidFill>
          </w14:textFill>
        </w:rPr>
        <w:t>因强降雨等因素诱发新增</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主要集中在村镇居民区，为不规范削坡建房形成的高陡危险边坡崩滑现象。</w:t>
      </w:r>
    </w:p>
    <w:p w14:paraId="49EF727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color w:val="000000" w:themeColor="text1"/>
          <w:szCs w:val="32"/>
          <w14:textFill>
            <w14:solidFill>
              <w14:schemeClr w14:val="tx1"/>
            </w14:solidFill>
          </w14:textFill>
        </w:rPr>
      </w:pPr>
      <w:r>
        <w:rPr>
          <w:rFonts w:ascii="Times New Roman" w:hAnsi="Times New Roman" w:eastAsia="黑体"/>
          <w:color w:val="000000" w:themeColor="text1"/>
          <w:szCs w:val="32"/>
          <w14:textFill>
            <w14:solidFill>
              <w14:schemeClr w14:val="tx1"/>
            </w14:solidFill>
          </w14:textFill>
        </w:rPr>
        <w:t>二、</w:t>
      </w:r>
      <w:r>
        <w:rPr>
          <w:rFonts w:hint="eastAsia" w:ascii="Times New Roman" w:hAnsi="Times New Roman" w:eastAsia="黑体"/>
          <w:color w:val="000000" w:themeColor="text1"/>
          <w:szCs w:val="32"/>
          <w:lang w:eastAsia="zh-CN"/>
          <w14:textFill>
            <w14:solidFill>
              <w14:schemeClr w14:val="tx1"/>
            </w14:solidFill>
          </w14:textFill>
        </w:rPr>
        <w:t>2025</w:t>
      </w:r>
      <w:r>
        <w:rPr>
          <w:rFonts w:ascii="Times New Roman" w:hAnsi="Times New Roman" w:eastAsia="黑体"/>
          <w:color w:val="000000" w:themeColor="text1"/>
          <w:szCs w:val="32"/>
          <w14:textFill>
            <w14:solidFill>
              <w14:schemeClr w14:val="tx1"/>
            </w14:solidFill>
          </w14:textFill>
        </w:rPr>
        <w:t>年地质灾害趋势分析</w:t>
      </w:r>
    </w:p>
    <w:p w14:paraId="1B11643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根据</w:t>
      </w:r>
      <w:r>
        <w:rPr>
          <w:rFonts w:hint="eastAsia" w:ascii="仿宋_GB2312" w:hAnsi="仿宋_GB2312" w:cs="仿宋_GB2312"/>
          <w:color w:val="000000" w:themeColor="text1"/>
          <w:szCs w:val="32"/>
          <w:lang w:eastAsia="zh-CN"/>
          <w14:textFill>
            <w14:solidFill>
              <w14:schemeClr w14:val="tx1"/>
            </w14:solidFill>
          </w14:textFill>
        </w:rPr>
        <w:t>2025</w:t>
      </w:r>
      <w:r>
        <w:rPr>
          <w:rFonts w:hint="eastAsia" w:ascii="仿宋_GB2312" w:hAnsi="仿宋_GB2312" w:cs="仿宋_GB2312"/>
          <w:color w:val="000000" w:themeColor="text1"/>
          <w:szCs w:val="32"/>
          <w14:textFill>
            <w14:solidFill>
              <w14:schemeClr w14:val="tx1"/>
            </w14:solidFill>
          </w14:textFill>
        </w:rPr>
        <w:t>年</w:t>
      </w:r>
      <w:r>
        <w:rPr>
          <w:rFonts w:hint="eastAsia" w:ascii="仿宋_GB2312" w:hAnsi="仿宋_GB2312" w:cs="仿宋_GB2312"/>
          <w:color w:val="000000" w:themeColor="text1"/>
          <w:szCs w:val="32"/>
          <w:lang w:eastAsia="zh-CN"/>
          <w14:textFill>
            <w14:solidFill>
              <w14:schemeClr w14:val="tx1"/>
            </w14:solidFill>
          </w14:textFill>
        </w:rPr>
        <w:t>气象部门预测</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我市气象灾害主要表现为</w:t>
      </w:r>
      <w:r>
        <w:rPr>
          <w:rFonts w:hint="eastAsia" w:ascii="仿宋_GB2312" w:hAnsi="仿宋_GB2312" w:cs="仿宋_GB2312"/>
          <w:color w:val="000000" w:themeColor="text1"/>
          <w:kern w:val="0"/>
          <w:szCs w:val="32"/>
          <w14:textFill>
            <w14:solidFill>
              <w14:schemeClr w14:val="tx1"/>
            </w14:solidFill>
          </w14:textFill>
        </w:rPr>
        <w:t>前旱后涝，阶段性与局地性气象灾害较为突出，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“龙舟水”期间总降水量较常年略偏重。</w:t>
      </w:r>
      <w:r>
        <w:rPr>
          <w:rFonts w:hint="eastAsia" w:ascii="仿宋_GB2312" w:hAnsi="仿宋_GB2312" w:cs="仿宋_GB2312"/>
          <w:color w:val="000000" w:themeColor="text1"/>
          <w:szCs w:val="32"/>
          <w14:textFill>
            <w14:solidFill>
              <w14:schemeClr w14:val="tx1"/>
            </w14:solidFill>
          </w14:textFill>
        </w:rPr>
        <w:t>结合近年来全市地质灾害发生情况及全市地质灾害隐患点分布特征，预计</w:t>
      </w:r>
      <w:r>
        <w:rPr>
          <w:rFonts w:hint="eastAsia" w:ascii="仿宋_GB2312" w:hAnsi="仿宋_GB2312" w:cs="仿宋_GB2312"/>
          <w:color w:val="000000" w:themeColor="text1"/>
          <w:szCs w:val="32"/>
          <w:lang w:eastAsia="zh-CN"/>
          <w14:textFill>
            <w14:solidFill>
              <w14:schemeClr w14:val="tx1"/>
            </w14:solidFill>
          </w14:textFill>
        </w:rPr>
        <w:t>2025</w:t>
      </w:r>
      <w:r>
        <w:rPr>
          <w:rFonts w:hint="eastAsia" w:ascii="仿宋_GB2312" w:hAnsi="仿宋_GB2312" w:cs="仿宋_GB2312"/>
          <w:color w:val="000000" w:themeColor="text1"/>
          <w:szCs w:val="32"/>
          <w14:textFill>
            <w14:solidFill>
              <w14:schemeClr w14:val="tx1"/>
            </w14:solidFill>
          </w14:textFill>
        </w:rPr>
        <w:t>年全市地质灾害类型仍然以崩塌、滑坡、泥石流和地面塌陷为主，地质灾害的数量、规模及危害总体上与常年持平。具体预测如下：</w:t>
      </w:r>
    </w:p>
    <w:p w14:paraId="1977222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1.</w:t>
      </w:r>
      <w:r>
        <w:rPr>
          <w:rFonts w:hint="eastAsia" w:ascii="仿宋_GB2312" w:hAnsi="仿宋_GB2312" w:cs="仿宋_GB2312"/>
          <w:color w:val="000000" w:themeColor="text1"/>
          <w:szCs w:val="32"/>
          <w14:textFill>
            <w14:solidFill>
              <w14:schemeClr w14:val="tx1"/>
            </w14:solidFill>
          </w14:textFill>
        </w:rPr>
        <w:t>地质灾害易发、频发期。崩塌、滑坡、泥石流易发、频发期与集中降水期基本一致，一般出现在3</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9月份，可能形成群发性崩塌、滑坡、泥石流地质灾害，是崩塌、滑坡、泥石流地质灾害重点防范期；1</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2月份及10</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12月份枯水期，应注意防范地面塌陷地质灾害。</w:t>
      </w:r>
    </w:p>
    <w:p w14:paraId="7878150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2.</w:t>
      </w:r>
      <w:r>
        <w:rPr>
          <w:rFonts w:hint="eastAsia" w:ascii="仿宋_GB2312" w:hAnsi="仿宋_GB2312" w:cs="仿宋_GB2312"/>
          <w:color w:val="000000" w:themeColor="text1"/>
          <w:szCs w:val="32"/>
          <w14:textFill>
            <w14:solidFill>
              <w14:schemeClr w14:val="tx1"/>
            </w14:solidFill>
          </w14:textFill>
        </w:rPr>
        <w:t>地质灾害高发、群发区。我市东北部花岗岩风化土层覆盖区、西北部和东南部沉积岩风化松散岩土覆盖区及山塘水库河岸地带仍然是崩塌、滑坡、泥石流地质灾害高易发区，村镇居民削坡建房地带、矿山活动区及交通建设区段可能出现崩塌、滑坡、泥石流突发、群发现象；我市连平县、东源县、和平县隐伏灰岩覆盖区及东源县仙塘镇、紫金县义容镇矿山地下采空区可能发生地面塌陷地质灾害。</w:t>
      </w:r>
    </w:p>
    <w:p w14:paraId="108FDCF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3.</w:t>
      </w:r>
      <w:r>
        <w:rPr>
          <w:rFonts w:hint="eastAsia" w:ascii="仿宋_GB2312" w:hAnsi="仿宋_GB2312" w:cs="仿宋_GB2312"/>
          <w:color w:val="000000" w:themeColor="text1"/>
          <w:szCs w:val="32"/>
          <w14:textFill>
            <w14:solidFill>
              <w14:schemeClr w14:val="tx1"/>
            </w14:solidFill>
          </w14:textFill>
        </w:rPr>
        <w:t>地质灾害主导、诱发因素。削坡建房、公路开挖及采矿活动等破坏地质环境的工程建设活动仍然是地质灾害主导因素。长时间强降雨或暴雨、地震、山塘水库蓄排水是地质灾害诱发因素，当连续降水达到150毫米（长时间降雨）或日降水达到80毫米以上（暴雨）时，发生崩塌、滑坡、泥石流地质灾害可能性较大；当连续降水达到200毫米（长时间强降雨）或日降水150毫米以上（大暴雨）时，发生崩塌、滑坡、泥石流地质灾害的可能性极大。</w:t>
      </w:r>
    </w:p>
    <w:p w14:paraId="65C4C34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4</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规模及危害对象。我市地质灾害仍然以中小规模为主，危害对象主要为村镇居民、农村中小学生等，村镇居民及农村中小学生是地质灾害防治知识宣传的主要对象，学校、居民点等是地质灾害防治工作督查重点单位。</w:t>
      </w:r>
    </w:p>
    <w:p w14:paraId="1023070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color w:val="000000" w:themeColor="text1"/>
          <w:szCs w:val="32"/>
          <w14:textFill>
            <w14:solidFill>
              <w14:schemeClr w14:val="tx1"/>
            </w14:solidFill>
          </w14:textFill>
        </w:rPr>
      </w:pPr>
      <w:r>
        <w:rPr>
          <w:rFonts w:ascii="Times New Roman" w:hAnsi="Times New Roman" w:eastAsia="黑体"/>
          <w:color w:val="000000" w:themeColor="text1"/>
          <w:szCs w:val="32"/>
          <w14:textFill>
            <w14:solidFill>
              <w14:schemeClr w14:val="tx1"/>
            </w14:solidFill>
          </w14:textFill>
        </w:rPr>
        <w:t>三、地质灾害重点防范期</w:t>
      </w:r>
    </w:p>
    <w:p w14:paraId="0FA5DF4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lang w:eastAsia="zh-CN"/>
          <w14:textFill>
            <w14:solidFill>
              <w14:schemeClr w14:val="tx1"/>
            </w14:solidFill>
          </w14:textFill>
        </w:rPr>
        <w:t>我市</w:t>
      </w:r>
      <w:r>
        <w:rPr>
          <w:rFonts w:hint="eastAsia" w:ascii="仿宋_GB2312" w:hAnsi="仿宋_GB2312" w:cs="仿宋_GB2312"/>
          <w:color w:val="000000" w:themeColor="text1"/>
          <w:szCs w:val="32"/>
          <w:lang w:val="en-US" w:eastAsia="zh-CN"/>
          <w14:textFill>
            <w14:solidFill>
              <w14:schemeClr w14:val="tx1"/>
            </w14:solidFill>
          </w14:textFill>
        </w:rPr>
        <w:t>2025年</w:t>
      </w:r>
      <w:r>
        <w:rPr>
          <w:rFonts w:hint="eastAsia" w:ascii="仿宋_GB2312" w:hAnsi="仿宋_GB2312" w:cs="仿宋_GB2312"/>
          <w:color w:val="000000" w:themeColor="text1"/>
          <w:szCs w:val="32"/>
          <w14:textFill>
            <w14:solidFill>
              <w14:schemeClr w14:val="tx1"/>
            </w14:solidFill>
          </w14:textFill>
        </w:rPr>
        <w:t>降雨量主要集中在汛期（4月</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10</w:t>
      </w:r>
      <w:r>
        <w:rPr>
          <w:rFonts w:hint="eastAsia" w:ascii="仿宋_GB2312" w:hAnsi="仿宋_GB2312" w:cs="仿宋_GB2312"/>
          <w:color w:val="000000" w:themeColor="text1"/>
          <w:szCs w:val="32"/>
          <w14:textFill>
            <w14:solidFill>
              <w14:schemeClr w14:val="tx1"/>
            </w14:solidFill>
          </w14:textFill>
        </w:rPr>
        <w:t>月），尤其是</w:t>
      </w:r>
      <w:r>
        <w:rPr>
          <w:rFonts w:hint="eastAsia" w:ascii="仿宋_GB2312" w:hAnsi="仿宋_GB2312" w:cs="仿宋_GB2312"/>
          <w:color w:val="000000" w:themeColor="text1"/>
          <w:szCs w:val="32"/>
          <w:lang w:val="en-US" w:eastAsia="zh-CN"/>
          <w14:textFill>
            <w14:solidFill>
              <w14:schemeClr w14:val="tx1"/>
            </w14:solidFill>
          </w14:textFill>
        </w:rPr>
        <w:t>5月</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6</w:t>
      </w:r>
      <w:r>
        <w:rPr>
          <w:rFonts w:hint="eastAsia" w:ascii="仿宋_GB2312" w:hAnsi="仿宋_GB2312" w:cs="仿宋_GB2312"/>
          <w:color w:val="000000" w:themeColor="text1"/>
          <w:szCs w:val="32"/>
          <w14:textFill>
            <w14:solidFill>
              <w14:schemeClr w14:val="tx1"/>
            </w14:solidFill>
          </w14:textFill>
        </w:rPr>
        <w:t>月是强降雨集中期，是崩塌、滑坡、泥石流等地质灾害的易发期；</w:t>
      </w:r>
      <w:r>
        <w:rPr>
          <w:rFonts w:hint="eastAsia" w:ascii="仿宋_GB2312" w:hAnsi="仿宋_GB2312" w:cs="仿宋_GB2312"/>
          <w:color w:val="000000" w:themeColor="text1"/>
          <w:szCs w:val="32"/>
          <w:lang w:val="en-US" w:eastAsia="zh-CN"/>
          <w14:textFill>
            <w14:solidFill>
              <w14:schemeClr w14:val="tx1"/>
            </w14:solidFill>
          </w14:textFill>
        </w:rPr>
        <w:t>7月-9月</w:t>
      </w:r>
      <w:r>
        <w:rPr>
          <w:rFonts w:hint="eastAsia" w:ascii="仿宋_GB2312" w:hAnsi="仿宋_GB2312" w:cs="仿宋_GB2312"/>
          <w:color w:val="000000" w:themeColor="text1"/>
          <w:szCs w:val="32"/>
          <w14:textFill>
            <w14:solidFill>
              <w14:schemeClr w14:val="tx1"/>
            </w14:solidFill>
          </w14:textFill>
        </w:rPr>
        <w:t>受台风气候影响，可能有暴雨或大暴雨等强降雨天气，台风期间也</w:t>
      </w:r>
      <w:r>
        <w:rPr>
          <w:rFonts w:hint="eastAsia" w:ascii="仿宋_GB2312" w:hAnsi="仿宋_GB2312" w:cs="仿宋_GB2312"/>
          <w:color w:val="000000" w:themeColor="text1"/>
          <w:szCs w:val="32"/>
          <w:lang w:eastAsia="zh-CN"/>
          <w14:textFill>
            <w14:solidFill>
              <w14:schemeClr w14:val="tx1"/>
            </w14:solidFill>
          </w14:textFill>
        </w:rPr>
        <w:t>是</w:t>
      </w:r>
      <w:r>
        <w:rPr>
          <w:rFonts w:hint="eastAsia" w:ascii="仿宋_GB2312" w:hAnsi="仿宋_GB2312" w:cs="仿宋_GB2312"/>
          <w:color w:val="000000" w:themeColor="text1"/>
          <w:szCs w:val="32"/>
          <w14:textFill>
            <w14:solidFill>
              <w14:schemeClr w14:val="tx1"/>
            </w14:solidFill>
          </w14:textFill>
        </w:rPr>
        <w:t>地质灾害的易发期；常年小地震频发，对地质环境破坏较大，可能发生崩塌、滑坡、地面沉降、地裂缝等次生地质灾害，地震期间也是地质灾害的易发期。因此，我市地质灾害重点防范期包括汛期、台风期间及地震期间。</w:t>
      </w:r>
    </w:p>
    <w:p w14:paraId="2A3CF32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color w:val="000000" w:themeColor="text1"/>
          <w:szCs w:val="32"/>
          <w14:textFill>
            <w14:solidFill>
              <w14:schemeClr w14:val="tx1"/>
            </w14:solidFill>
          </w14:textFill>
        </w:rPr>
      </w:pPr>
      <w:r>
        <w:rPr>
          <w:rFonts w:ascii="Times New Roman" w:hAnsi="Times New Roman" w:eastAsia="黑体"/>
          <w:color w:val="000000" w:themeColor="text1"/>
          <w:szCs w:val="32"/>
          <w14:textFill>
            <w14:solidFill>
              <w14:schemeClr w14:val="tx1"/>
            </w14:solidFill>
          </w14:textFill>
        </w:rPr>
        <w:t>四、地质灾害</w:t>
      </w:r>
      <w:r>
        <w:rPr>
          <w:rFonts w:hint="eastAsia" w:eastAsia="黑体"/>
          <w:color w:val="000000" w:themeColor="text1"/>
          <w:szCs w:val="32"/>
          <w:lang w:eastAsia="zh-CN"/>
          <w14:textFill>
            <w14:solidFill>
              <w14:schemeClr w14:val="tx1"/>
            </w14:solidFill>
          </w14:textFill>
        </w:rPr>
        <w:t>重点</w:t>
      </w:r>
      <w:r>
        <w:rPr>
          <w:rFonts w:ascii="Times New Roman" w:hAnsi="Times New Roman" w:eastAsia="黑体"/>
          <w:color w:val="000000" w:themeColor="text1"/>
          <w:szCs w:val="32"/>
          <w14:textFill>
            <w14:solidFill>
              <w14:schemeClr w14:val="tx1"/>
            </w14:solidFill>
          </w14:textFill>
        </w:rPr>
        <w:t>预防区、地段、隐患点</w:t>
      </w:r>
    </w:p>
    <w:p w14:paraId="225103E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根据地质灾害成灾规律，结合我市地质环境条件及人类工程活动强度，我市</w:t>
      </w:r>
      <w:r>
        <w:rPr>
          <w:rFonts w:hint="eastAsia" w:ascii="仿宋_GB2312" w:hAnsi="仿宋_GB2312" w:cs="仿宋_GB2312"/>
          <w:color w:val="000000" w:themeColor="text1"/>
          <w:szCs w:val="32"/>
          <w:lang w:eastAsia="zh-CN"/>
          <w14:textFill>
            <w14:solidFill>
              <w14:schemeClr w14:val="tx1"/>
            </w14:solidFill>
          </w14:textFill>
        </w:rPr>
        <w:t>2025</w:t>
      </w:r>
      <w:r>
        <w:rPr>
          <w:rFonts w:hint="eastAsia" w:ascii="仿宋_GB2312" w:hAnsi="仿宋_GB2312" w:cs="仿宋_GB2312"/>
          <w:color w:val="000000" w:themeColor="text1"/>
          <w:szCs w:val="32"/>
          <w14:textFill>
            <w14:solidFill>
              <w14:schemeClr w14:val="tx1"/>
            </w14:solidFill>
          </w14:textFill>
        </w:rPr>
        <w:t>年地质灾害重点防范区段包括地质灾害高易发区、削坡建房现象严重的村镇居民点、交通道路开挖地段、采矿活动区等区域地段（见附</w:t>
      </w:r>
      <w:r>
        <w:rPr>
          <w:rFonts w:hint="eastAsia" w:ascii="仿宋_GB2312" w:hAnsi="仿宋_GB2312" w:cs="仿宋_GB2312"/>
          <w:color w:val="000000" w:themeColor="text1"/>
          <w:szCs w:val="32"/>
          <w:lang w:eastAsia="zh-CN"/>
          <w14:textFill>
            <w14:solidFill>
              <w14:schemeClr w14:val="tx1"/>
            </w14:solidFill>
          </w14:textFill>
        </w:rPr>
        <w:t>件</w:t>
      </w:r>
      <w:r>
        <w:rPr>
          <w:rFonts w:hint="eastAsia" w:ascii="仿宋_GB2312" w:hAnsi="仿宋_GB2312" w:cs="仿宋_GB2312"/>
          <w:color w:val="000000" w:themeColor="text1"/>
          <w:szCs w:val="32"/>
          <w14:textFill>
            <w14:solidFill>
              <w14:schemeClr w14:val="tx1"/>
            </w14:solidFill>
          </w14:textFill>
        </w:rPr>
        <w:t>2），各县</w:t>
      </w:r>
      <w:r>
        <w:rPr>
          <w:rFonts w:hint="eastAsia" w:ascii="仿宋_GB2312" w:hAnsi="仿宋_GB2312" w:cs="仿宋_GB2312"/>
          <w:color w:val="000000" w:themeColor="text1"/>
          <w:szCs w:val="32"/>
          <w:lang w:eastAsia="zh-CN"/>
          <w14:textFill>
            <w14:solidFill>
              <w14:schemeClr w14:val="tx1"/>
            </w14:solidFill>
          </w14:textFill>
        </w:rPr>
        <w:t>（区）</w:t>
      </w:r>
      <w:r>
        <w:rPr>
          <w:rFonts w:hint="eastAsia" w:ascii="仿宋_GB2312" w:hAnsi="仿宋_GB2312" w:cs="仿宋_GB2312"/>
          <w:color w:val="000000" w:themeColor="text1"/>
          <w:szCs w:val="32"/>
          <w14:textFill>
            <w14:solidFill>
              <w14:schemeClr w14:val="tx1"/>
            </w14:solidFill>
          </w14:textFill>
        </w:rPr>
        <w:t>政府</w:t>
      </w:r>
      <w:r>
        <w:rPr>
          <w:rFonts w:hint="eastAsia" w:ascii="仿宋_GB2312" w:hAnsi="仿宋_GB2312" w:cs="仿宋_GB2312"/>
          <w:color w:val="000000" w:themeColor="text1"/>
          <w:szCs w:val="32"/>
          <w:lang w:eastAsia="zh-CN"/>
          <w14:textFill>
            <w14:solidFill>
              <w14:schemeClr w14:val="tx1"/>
            </w14:solidFill>
          </w14:textFill>
        </w:rPr>
        <w:t>（管委会）</w:t>
      </w:r>
      <w:r>
        <w:rPr>
          <w:rFonts w:hint="eastAsia" w:ascii="仿宋_GB2312" w:hAnsi="仿宋_GB2312" w:cs="仿宋_GB2312"/>
          <w:color w:val="000000" w:themeColor="text1"/>
          <w:szCs w:val="32"/>
          <w14:textFill>
            <w14:solidFill>
              <w14:schemeClr w14:val="tx1"/>
            </w14:solidFill>
          </w14:textFill>
        </w:rPr>
        <w:t>、市</w:t>
      </w:r>
      <w:r>
        <w:rPr>
          <w:rFonts w:hint="eastAsia" w:ascii="仿宋_GB2312" w:hAnsi="仿宋_GB2312" w:cs="仿宋_GB2312"/>
          <w:color w:val="000000" w:themeColor="text1"/>
          <w:szCs w:val="32"/>
          <w:lang w:eastAsia="zh-CN"/>
          <w14:textFill>
            <w14:solidFill>
              <w14:schemeClr w14:val="tx1"/>
            </w14:solidFill>
          </w14:textFill>
        </w:rPr>
        <w:t>有关单位</w:t>
      </w:r>
      <w:r>
        <w:rPr>
          <w:rFonts w:hint="eastAsia" w:ascii="仿宋_GB2312" w:hAnsi="仿宋_GB2312" w:cs="仿宋_GB2312"/>
          <w:color w:val="000000" w:themeColor="text1"/>
          <w:szCs w:val="32"/>
          <w14:textFill>
            <w14:solidFill>
              <w14:schemeClr w14:val="tx1"/>
            </w14:solidFill>
          </w14:textFill>
        </w:rPr>
        <w:t>应根据</w:t>
      </w:r>
      <w:r>
        <w:rPr>
          <w:rFonts w:hint="eastAsia" w:ascii="仿宋_GB2312" w:hAnsi="仿宋_GB2312" w:cs="仿宋_GB2312"/>
          <w:color w:val="000000" w:themeColor="text1"/>
          <w:szCs w:val="32"/>
          <w:lang w:eastAsia="zh-CN"/>
          <w14:textFill>
            <w14:solidFill>
              <w14:schemeClr w14:val="tx1"/>
            </w14:solidFill>
          </w14:textFill>
        </w:rPr>
        <w:t>各</w:t>
      </w:r>
      <w:r>
        <w:rPr>
          <w:rFonts w:hint="eastAsia" w:ascii="仿宋_GB2312" w:hAnsi="仿宋_GB2312" w:cs="仿宋_GB2312"/>
          <w:color w:val="000000" w:themeColor="text1"/>
          <w:szCs w:val="32"/>
          <w14:textFill>
            <w14:solidFill>
              <w14:schemeClr w14:val="tx1"/>
            </w14:solidFill>
          </w14:textFill>
        </w:rPr>
        <w:t>辖区</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各系统地质灾害隐患情况，加强重要地段、隐患点地质灾害的防范。</w:t>
      </w:r>
    </w:p>
    <w:p w14:paraId="3E6195E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（一）重点预防区</w:t>
      </w:r>
    </w:p>
    <w:p w14:paraId="6AAE1889">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color w:val="000000" w:themeColor="text1"/>
          <w:szCs w:val="32"/>
          <w:highlight w:val="none"/>
          <w14:textFill>
            <w14:solidFill>
              <w14:schemeClr w14:val="tx1"/>
            </w14:solidFill>
          </w14:textFill>
        </w:rPr>
      </w:pPr>
      <w:r>
        <w:rPr>
          <w:rFonts w:hint="eastAsia" w:ascii="Times New Roman" w:hAnsi="Times New Roman"/>
          <w:color w:val="000000" w:themeColor="text1"/>
          <w:szCs w:val="32"/>
          <w:highlight w:val="none"/>
          <w14:textFill>
            <w14:solidFill>
              <w14:schemeClr w14:val="tx1"/>
            </w14:solidFill>
          </w14:textFill>
        </w:rPr>
        <w:t>我市东北部（和平县-龙川北部）花岗岩风化土层覆盖区为崩塌、滑坡、泥石流重点预防区</w:t>
      </w:r>
      <w:r>
        <w:rPr>
          <w:rFonts w:hint="eastAsia" w:ascii="Times New Roman" w:hAnsi="Times New Roman"/>
          <w:color w:val="000000" w:themeColor="text1"/>
          <w:szCs w:val="32"/>
          <w:highlight w:val="none"/>
          <w:lang w:eastAsia="zh-CN"/>
          <w14:textFill>
            <w14:solidFill>
              <w14:schemeClr w14:val="tx1"/>
            </w14:solidFill>
          </w14:textFill>
        </w:rPr>
        <w:t>；</w:t>
      </w:r>
      <w:r>
        <w:rPr>
          <w:rFonts w:hint="eastAsia" w:ascii="Times New Roman" w:hAnsi="Times New Roman"/>
          <w:color w:val="000000" w:themeColor="text1"/>
          <w:szCs w:val="32"/>
          <w:highlight w:val="none"/>
          <w14:textFill>
            <w14:solidFill>
              <w14:schemeClr w14:val="tx1"/>
            </w14:solidFill>
          </w14:textFill>
        </w:rPr>
        <w:t>东南部（紫金县）花岗岩风化土层覆盖区为崩塌、滑坡、泥石流重点预防区</w:t>
      </w:r>
      <w:r>
        <w:rPr>
          <w:rFonts w:hint="eastAsia" w:ascii="Times New Roman" w:hAnsi="Times New Roman"/>
          <w:color w:val="000000" w:themeColor="text1"/>
          <w:szCs w:val="32"/>
          <w:highlight w:val="none"/>
          <w:lang w:eastAsia="zh-CN"/>
          <w14:textFill>
            <w14:solidFill>
              <w14:schemeClr w14:val="tx1"/>
            </w14:solidFill>
          </w14:textFill>
        </w:rPr>
        <w:t>；</w:t>
      </w:r>
      <w:r>
        <w:rPr>
          <w:rFonts w:hint="eastAsia" w:ascii="Times New Roman" w:hAnsi="Times New Roman"/>
          <w:color w:val="000000" w:themeColor="text1"/>
          <w:szCs w:val="32"/>
          <w:highlight w:val="none"/>
          <w14:textFill>
            <w14:solidFill>
              <w14:schemeClr w14:val="tx1"/>
            </w14:solidFill>
          </w14:textFill>
        </w:rPr>
        <w:t>西北部一是连平县西南沉积岩区风化松散岩土分布区为崩塌、滑坡、泥石流重点预防区</w:t>
      </w:r>
      <w:r>
        <w:rPr>
          <w:rFonts w:hint="eastAsia" w:ascii="Times New Roman" w:hAnsi="Times New Roman"/>
          <w:color w:val="000000" w:themeColor="text1"/>
          <w:szCs w:val="32"/>
          <w:highlight w:val="none"/>
          <w:lang w:eastAsia="zh-CN"/>
          <w14:textFill>
            <w14:solidFill>
              <w14:schemeClr w14:val="tx1"/>
            </w14:solidFill>
          </w14:textFill>
        </w:rPr>
        <w:t>，</w:t>
      </w:r>
      <w:r>
        <w:rPr>
          <w:rFonts w:hint="eastAsia" w:ascii="Times New Roman" w:hAnsi="Times New Roman"/>
          <w:color w:val="000000" w:themeColor="text1"/>
          <w:szCs w:val="32"/>
          <w:highlight w:val="none"/>
          <w14:textFill>
            <w14:solidFill>
              <w14:schemeClr w14:val="tx1"/>
            </w14:solidFill>
          </w14:textFill>
        </w:rPr>
        <w:t>二是连平县中部变质岩区特别是构造发育区为崩塌、滑坡重点预防区</w:t>
      </w:r>
      <w:r>
        <w:rPr>
          <w:rFonts w:hint="eastAsia" w:ascii="Times New Roman" w:hAnsi="Times New Roman"/>
          <w:color w:val="000000" w:themeColor="text1"/>
          <w:szCs w:val="32"/>
          <w:highlight w:val="none"/>
          <w:lang w:eastAsia="zh-CN"/>
          <w14:textFill>
            <w14:solidFill>
              <w14:schemeClr w14:val="tx1"/>
            </w14:solidFill>
          </w14:textFill>
        </w:rPr>
        <w:t>；</w:t>
      </w:r>
      <w:r>
        <w:rPr>
          <w:rFonts w:hint="eastAsia" w:ascii="Times New Roman" w:hAnsi="Times New Roman"/>
          <w:color w:val="000000" w:themeColor="text1"/>
          <w:szCs w:val="32"/>
          <w:highlight w:val="none"/>
          <w14:textFill>
            <w14:solidFill>
              <w14:schemeClr w14:val="tx1"/>
            </w14:solidFill>
          </w14:textFill>
        </w:rPr>
        <w:t>西部（东源县锡场镇、新回龙镇、黄田镇、叶潭镇、船塘镇）花岗岩风化土层覆盖区为崩塌、滑坡、泥石流重点预防区</w:t>
      </w:r>
      <w:r>
        <w:rPr>
          <w:rFonts w:hint="eastAsia" w:ascii="Times New Roman" w:hAnsi="Times New Roman"/>
          <w:color w:val="000000" w:themeColor="text1"/>
          <w:szCs w:val="32"/>
          <w:highlight w:val="none"/>
          <w:lang w:eastAsia="zh-CN"/>
          <w14:textFill>
            <w14:solidFill>
              <w14:schemeClr w14:val="tx1"/>
            </w14:solidFill>
          </w14:textFill>
        </w:rPr>
        <w:t>；</w:t>
      </w:r>
      <w:r>
        <w:rPr>
          <w:rFonts w:hint="eastAsia" w:ascii="Times New Roman" w:hAnsi="Times New Roman"/>
          <w:color w:val="000000" w:themeColor="text1"/>
          <w:szCs w:val="32"/>
          <w:highlight w:val="none"/>
          <w14:textFill>
            <w14:solidFill>
              <w14:schemeClr w14:val="tx1"/>
            </w14:solidFill>
          </w14:textFill>
        </w:rPr>
        <w:t>北中部（</w:t>
      </w:r>
      <w:r>
        <w:rPr>
          <w:rFonts w:hint="eastAsia"/>
          <w:color w:val="000000" w:themeColor="text1"/>
          <w:szCs w:val="32"/>
          <w:highlight w:val="none"/>
          <w:lang w:eastAsia="zh-CN"/>
          <w14:textFill>
            <w14:solidFill>
              <w14:schemeClr w14:val="tx1"/>
            </w14:solidFill>
          </w14:textFill>
        </w:rPr>
        <w:t>连平县</w:t>
      </w:r>
      <w:r>
        <w:rPr>
          <w:rFonts w:hint="eastAsia" w:ascii="Times New Roman" w:hAnsi="Times New Roman"/>
          <w:color w:val="000000" w:themeColor="text1"/>
          <w:szCs w:val="32"/>
          <w:highlight w:val="none"/>
          <w14:textFill>
            <w14:solidFill>
              <w14:schemeClr w14:val="tx1"/>
            </w14:solidFill>
          </w14:textFill>
        </w:rPr>
        <w:t>陂头镇、内莞镇、上坪镇、隆街镇、大湖镇、三角镇、高莞镇）隐伏灰岩分布区</w:t>
      </w:r>
      <w:r>
        <w:rPr>
          <w:rFonts w:hint="eastAsia" w:ascii="Times New Roman" w:hAnsi="Times New Roman"/>
          <w:color w:val="000000" w:themeColor="text1"/>
          <w:szCs w:val="32"/>
          <w:highlight w:val="none"/>
          <w:lang w:eastAsia="zh-CN"/>
          <w14:textFill>
            <w14:solidFill>
              <w14:schemeClr w14:val="tx1"/>
            </w14:solidFill>
          </w14:textFill>
        </w:rPr>
        <w:t>，</w:t>
      </w:r>
      <w:r>
        <w:rPr>
          <w:rFonts w:hint="eastAsia" w:ascii="Times New Roman" w:hAnsi="Times New Roman"/>
          <w:color w:val="000000" w:themeColor="text1"/>
          <w:szCs w:val="32"/>
          <w:highlight w:val="none"/>
          <w14:textFill>
            <w14:solidFill>
              <w14:schemeClr w14:val="tx1"/>
            </w14:solidFill>
          </w14:textFill>
        </w:rPr>
        <w:t>东源县-江东新区萤石矿、连平县铁矿、紫金县铁矿等地下采空区为地面塌陷、地面沉降、地裂缝重点预防区。</w:t>
      </w:r>
    </w:p>
    <w:p w14:paraId="2C1C742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（二）重点预防地段</w:t>
      </w:r>
    </w:p>
    <w:p w14:paraId="04E5AED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境内新建或在建的交通道路、铁路等开挖、回填地段，削坡建房现象严重的村镇居民点</w:t>
      </w:r>
      <w:r>
        <w:rPr>
          <w:rFonts w:hint="eastAsia" w:ascii="Times New Roman" w:hAnsi="Times New Roman"/>
          <w:color w:val="000000" w:themeColor="text1"/>
          <w:szCs w:val="32"/>
          <w:lang w:eastAsia="zh-CN"/>
          <w14:textFill>
            <w14:solidFill>
              <w14:schemeClr w14:val="tx1"/>
            </w14:solidFill>
          </w14:textFill>
        </w:rPr>
        <w:t>，</w:t>
      </w:r>
      <w:r>
        <w:rPr>
          <w:rFonts w:ascii="Times New Roman" w:hAnsi="Times New Roman"/>
          <w:color w:val="000000" w:themeColor="text1"/>
          <w:szCs w:val="32"/>
          <w14:textFill>
            <w14:solidFill>
              <w14:schemeClr w14:val="tx1"/>
            </w14:solidFill>
          </w14:textFill>
        </w:rPr>
        <w:t>新丰江、枫树坝及东江等水库河流库岸边坡地带居民点分布区为崩塌、滑坡、泥石流重点预防地段。</w:t>
      </w:r>
    </w:p>
    <w:p w14:paraId="4D8A424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（三）重点预防隐患点</w:t>
      </w:r>
    </w:p>
    <w:p w14:paraId="61B052E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主要为受地质灾害威胁</w:t>
      </w:r>
      <w:r>
        <w:rPr>
          <w:rFonts w:hint="eastAsia" w:ascii="Times New Roman" w:hAnsi="Times New Roman"/>
          <w:color w:val="000000" w:themeColor="text1"/>
          <w:szCs w:val="32"/>
          <w:lang w:eastAsia="zh-CN"/>
          <w14:textFill>
            <w14:solidFill>
              <w14:schemeClr w14:val="tx1"/>
            </w14:solidFill>
          </w14:textFill>
        </w:rPr>
        <w:t>人数较多</w:t>
      </w:r>
      <w:r>
        <w:rPr>
          <w:rFonts w:ascii="Times New Roman" w:hAnsi="Times New Roman"/>
          <w:color w:val="000000" w:themeColor="text1"/>
          <w:szCs w:val="32"/>
          <w14:textFill>
            <w14:solidFill>
              <w14:schemeClr w14:val="tx1"/>
            </w14:solidFill>
          </w14:textFill>
        </w:rPr>
        <w:t>的村镇居民点、学校</w:t>
      </w:r>
      <w:r>
        <w:rPr>
          <w:rFonts w:hint="eastAsia" w:ascii="Times New Roman" w:hAnsi="Times New Roman"/>
          <w:color w:val="000000" w:themeColor="text1"/>
          <w:szCs w:val="32"/>
          <w:lang w:eastAsia="zh-CN"/>
          <w14:textFill>
            <w14:solidFill>
              <w14:schemeClr w14:val="tx1"/>
            </w14:solidFill>
          </w14:textFill>
        </w:rPr>
        <w:t>、市场、医院以及车流量较大的交通道路两侧高陡边坡等</w:t>
      </w:r>
      <w:r>
        <w:rPr>
          <w:rFonts w:ascii="Times New Roman" w:hAnsi="Times New Roman"/>
          <w:color w:val="000000" w:themeColor="text1"/>
          <w:szCs w:val="32"/>
          <w14:textFill>
            <w14:solidFill>
              <w14:schemeClr w14:val="tx1"/>
            </w14:solidFill>
          </w14:textFill>
        </w:rPr>
        <w:t>。</w:t>
      </w:r>
    </w:p>
    <w:p w14:paraId="0615E14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color w:val="000000" w:themeColor="text1"/>
          <w:szCs w:val="32"/>
          <w14:textFill>
            <w14:solidFill>
              <w14:schemeClr w14:val="tx1"/>
            </w14:solidFill>
          </w14:textFill>
        </w:rPr>
      </w:pPr>
      <w:r>
        <w:rPr>
          <w:rFonts w:ascii="Times New Roman" w:hAnsi="Times New Roman" w:eastAsia="黑体"/>
          <w:color w:val="000000" w:themeColor="text1"/>
          <w:szCs w:val="32"/>
          <w14:textFill>
            <w14:solidFill>
              <w14:schemeClr w14:val="tx1"/>
            </w14:solidFill>
          </w14:textFill>
        </w:rPr>
        <w:t>五、地质灾害防治措施</w:t>
      </w:r>
    </w:p>
    <w:p w14:paraId="6CDAE18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（一）加强组织领导，落实防治责任</w:t>
      </w:r>
    </w:p>
    <w:p w14:paraId="415A81FB">
      <w:pPr>
        <w:pStyle w:val="2"/>
        <w:keepNext w:val="0"/>
        <w:keepLines w:val="0"/>
        <w:pageBreakBefore w:val="0"/>
        <w:widowControl w:val="0"/>
        <w:kinsoku/>
        <w:wordWrap/>
        <w:overflowPunct/>
        <w:topLinePunct w:val="0"/>
        <w:autoSpaceDE/>
        <w:autoSpaceDN/>
        <w:bidi w:val="0"/>
        <w:adjustRightInd/>
        <w:snapToGrid/>
        <w:spacing w:before="0" w:line="600" w:lineRule="exact"/>
        <w:ind w:left="161" w:right="117" w:firstLine="635"/>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各级政府要把人民群众生命财产安全放在首位，及早全面部署2025年的地质灾害防治工作。要切实加强领导，落实责任制，明确具体负责人，做到领导到位、任务到位、人员到位、措施到位、资金到位。各级地质灾害防治工作领导小组和相关部门负责人要认真履行职责，周密部署，靠前指挥，快速反应，积极应对。各重大地质灾害隐患点必须按照防灾责任制的要求，制定应急防灾预案，落实所在地区、主管部门和相关单位的责任，并明确专人负责。各级自然资源主管部门要做好地质灾害防治的组织协调和监督工作，各县（区）政府（管委会）和市有关单位要按照各自职责（见附件</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）组织做好辖区内或各相关行业地质灾害隐患排查、监测、治理等地质灾害防治工作。</w:t>
      </w:r>
    </w:p>
    <w:p w14:paraId="3B33EFD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color w:val="000000"/>
          <w:szCs w:val="32"/>
        </w:rPr>
      </w:pPr>
      <w:r>
        <w:rPr>
          <w:rFonts w:ascii="Times New Roman" w:hAnsi="Times New Roman" w:eastAsia="楷体_GB2312"/>
          <w:color w:val="000000"/>
          <w:kern w:val="30"/>
          <w:szCs w:val="32"/>
        </w:rPr>
        <w:t>（二）</w:t>
      </w:r>
      <w:r>
        <w:rPr>
          <w:rFonts w:ascii="Times New Roman" w:hAnsi="Times New Roman" w:eastAsia="楷体_GB2312"/>
          <w:color w:val="000000"/>
          <w:szCs w:val="32"/>
        </w:rPr>
        <w:t>加强动态巡查，夯实防灾基础</w:t>
      </w:r>
    </w:p>
    <w:p w14:paraId="1B494BBD">
      <w:pPr>
        <w:pStyle w:val="2"/>
        <w:keepNext w:val="0"/>
        <w:keepLines w:val="0"/>
        <w:pageBreakBefore w:val="0"/>
        <w:widowControl w:val="0"/>
        <w:kinsoku/>
        <w:wordWrap/>
        <w:overflowPunct/>
        <w:topLinePunct w:val="0"/>
        <w:autoSpaceDE/>
        <w:autoSpaceDN/>
        <w:bidi w:val="0"/>
        <w:adjustRightInd/>
        <w:snapToGrid/>
        <w:spacing w:before="0" w:line="600" w:lineRule="exact"/>
        <w:ind w:right="31" w:firstLine="632" w:firstLineChars="200"/>
        <w:textAlignment w:val="auto"/>
        <w:rPr>
          <w:rFonts w:ascii="Times New Roman" w:hAnsi="Times New Roman" w:eastAsia="仿宋_GB2312"/>
          <w:color w:val="000000"/>
          <w:kern w:val="2"/>
          <w:sz w:val="32"/>
          <w:szCs w:val="32"/>
          <w:lang w:eastAsia="zh-CN"/>
        </w:rPr>
      </w:pPr>
      <w:r>
        <w:rPr>
          <w:rFonts w:ascii="Times New Roman" w:hAnsi="Times New Roman" w:eastAsia="仿宋_GB2312"/>
          <w:color w:val="000000"/>
          <w:sz w:val="32"/>
          <w:szCs w:val="32"/>
          <w:lang w:eastAsia="zh-CN"/>
        </w:rPr>
        <w:t>各县</w:t>
      </w:r>
      <w:r>
        <w:rPr>
          <w:rFonts w:hint="eastAsia" w:ascii="Times New Roman" w:hAnsi="Times New Roman" w:eastAsia="仿宋_GB2312"/>
          <w:color w:val="000000"/>
          <w:sz w:val="32"/>
          <w:szCs w:val="32"/>
          <w:lang w:eastAsia="zh-CN"/>
        </w:rPr>
        <w:t>（区）</w:t>
      </w:r>
      <w:r>
        <w:rPr>
          <w:rFonts w:ascii="Times New Roman" w:hAnsi="Times New Roman" w:eastAsia="仿宋_GB2312"/>
          <w:color w:val="000000"/>
          <w:sz w:val="32"/>
          <w:szCs w:val="32"/>
          <w:lang w:eastAsia="zh-CN"/>
        </w:rPr>
        <w:t>政府</w:t>
      </w:r>
      <w:r>
        <w:rPr>
          <w:rFonts w:hint="eastAsia" w:ascii="Times New Roman" w:hAnsi="Times New Roman" w:eastAsia="仿宋_GB2312"/>
          <w:color w:val="000000"/>
          <w:sz w:val="32"/>
          <w:szCs w:val="32"/>
          <w:lang w:eastAsia="zh-CN"/>
        </w:rPr>
        <w:t>（管委会）</w:t>
      </w:r>
      <w:r>
        <w:rPr>
          <w:rFonts w:ascii="Times New Roman" w:hAnsi="Times New Roman" w:eastAsia="仿宋_GB2312"/>
          <w:color w:val="000000"/>
          <w:sz w:val="32"/>
          <w:szCs w:val="32"/>
          <w:lang w:eastAsia="zh-CN"/>
        </w:rPr>
        <w:t>和市</w:t>
      </w:r>
      <w:r>
        <w:rPr>
          <w:rFonts w:hint="eastAsia" w:ascii="Times New Roman" w:hAnsi="Times New Roman" w:eastAsia="仿宋_GB2312"/>
          <w:color w:val="000000"/>
          <w:sz w:val="32"/>
          <w:szCs w:val="32"/>
          <w:lang w:eastAsia="zh-CN"/>
        </w:rPr>
        <w:t>有关单位</w:t>
      </w:r>
      <w:r>
        <w:rPr>
          <w:rFonts w:ascii="Times New Roman" w:hAnsi="Times New Roman" w:eastAsia="仿宋_GB2312"/>
          <w:color w:val="000000"/>
          <w:sz w:val="32"/>
          <w:szCs w:val="32"/>
          <w:lang w:eastAsia="zh-CN"/>
        </w:rPr>
        <w:t>要重点加强</w:t>
      </w:r>
      <w:r>
        <w:rPr>
          <w:rFonts w:hint="eastAsia" w:ascii="Times New Roman" w:hAnsi="Times New Roman" w:eastAsia="仿宋_GB2312"/>
          <w:color w:val="000000"/>
          <w:sz w:val="32"/>
          <w:szCs w:val="32"/>
          <w:lang w:eastAsia="zh-CN"/>
        </w:rPr>
        <w:t>各辖区、各</w:t>
      </w:r>
      <w:r>
        <w:rPr>
          <w:rFonts w:ascii="Times New Roman" w:hAnsi="Times New Roman" w:eastAsia="仿宋_GB2312"/>
          <w:color w:val="000000"/>
          <w:sz w:val="32"/>
          <w:szCs w:val="32"/>
          <w:lang w:eastAsia="zh-CN"/>
        </w:rPr>
        <w:t>系统内的地质灾害隐患</w:t>
      </w:r>
      <w:r>
        <w:rPr>
          <w:rFonts w:hint="eastAsia" w:ascii="Times New Roman" w:hAnsi="Times New Roman" w:eastAsia="仿宋_GB2312"/>
          <w:color w:val="000000"/>
          <w:sz w:val="32"/>
          <w:szCs w:val="32"/>
          <w:lang w:eastAsia="zh-CN"/>
        </w:rPr>
        <w:t>风险</w:t>
      </w:r>
      <w:r>
        <w:rPr>
          <w:rFonts w:ascii="Times New Roman" w:hAnsi="Times New Roman" w:eastAsia="仿宋_GB2312"/>
          <w:color w:val="000000"/>
          <w:sz w:val="32"/>
          <w:szCs w:val="32"/>
          <w:lang w:eastAsia="zh-CN"/>
        </w:rPr>
        <w:t>汛前排查、汛中巡查、汛后复查</w:t>
      </w:r>
      <w:r>
        <w:rPr>
          <w:rFonts w:hint="eastAsia" w:ascii="Times New Roman" w:hAnsi="Times New Roman" w:eastAsia="仿宋_GB2312"/>
          <w:color w:val="000000"/>
          <w:sz w:val="32"/>
          <w:szCs w:val="32"/>
          <w:lang w:eastAsia="zh-CN"/>
        </w:rPr>
        <w:t>的</w:t>
      </w:r>
      <w:r>
        <w:rPr>
          <w:rFonts w:ascii="Times New Roman" w:hAnsi="Times New Roman" w:eastAsia="仿宋_GB2312"/>
          <w:color w:val="000000"/>
          <w:sz w:val="32"/>
          <w:szCs w:val="32"/>
          <w:lang w:eastAsia="zh-CN"/>
        </w:rPr>
        <w:t>动态巡查工作</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kern w:val="2"/>
          <w:sz w:val="32"/>
          <w:szCs w:val="32"/>
          <w:lang w:eastAsia="zh-CN"/>
        </w:rPr>
        <w:t>各</w:t>
      </w:r>
      <w:r>
        <w:rPr>
          <w:rFonts w:hint="eastAsia" w:ascii="Times New Roman" w:hAnsi="Times New Roman" w:eastAsia="仿宋_GB2312"/>
          <w:color w:val="000000"/>
          <w:kern w:val="2"/>
          <w:sz w:val="32"/>
          <w:szCs w:val="32"/>
          <w:lang w:eastAsia="zh-CN"/>
        </w:rPr>
        <w:t>级</w:t>
      </w:r>
      <w:r>
        <w:rPr>
          <w:rFonts w:ascii="Times New Roman" w:hAnsi="Times New Roman" w:eastAsia="仿宋_GB2312"/>
          <w:color w:val="000000"/>
          <w:kern w:val="2"/>
          <w:sz w:val="32"/>
          <w:szCs w:val="32"/>
          <w:lang w:eastAsia="zh-CN"/>
        </w:rPr>
        <w:t>自然资源主管部门要加强地质灾害隐患点的管理工作</w:t>
      </w:r>
      <w:r>
        <w:rPr>
          <w:rFonts w:hint="eastAsia" w:ascii="Times New Roman" w:hAnsi="Times New Roman" w:eastAsia="仿宋_GB2312"/>
          <w:color w:val="000000"/>
          <w:kern w:val="2"/>
          <w:sz w:val="32"/>
          <w:szCs w:val="32"/>
          <w:lang w:eastAsia="zh-CN"/>
        </w:rPr>
        <w:t>，动态更新地质灾害隐患点数据库信息，对纳入数据库管理的</w:t>
      </w:r>
      <w:r>
        <w:rPr>
          <w:rFonts w:ascii="Times New Roman" w:hAnsi="Times New Roman" w:eastAsia="仿宋_GB2312"/>
          <w:color w:val="000000"/>
          <w:sz w:val="32"/>
          <w:szCs w:val="32"/>
          <w:lang w:eastAsia="zh-CN"/>
        </w:rPr>
        <w:t>地质灾害隐患点</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lang w:eastAsia="zh-CN"/>
        </w:rPr>
        <w:t>均要制定</w:t>
      </w:r>
      <w:r>
        <w:rPr>
          <w:rFonts w:hint="eastAsia" w:ascii="Times New Roman" w:hAnsi="Times New Roman" w:eastAsia="仿宋_GB2312"/>
          <w:color w:val="000000"/>
          <w:sz w:val="32"/>
          <w:szCs w:val="32"/>
          <w:lang w:eastAsia="zh-CN"/>
        </w:rPr>
        <w:t>发放“两卡一预案”、</w:t>
      </w:r>
      <w:r>
        <w:rPr>
          <w:rFonts w:ascii="Times New Roman" w:hAnsi="Times New Roman" w:eastAsia="仿宋_GB2312"/>
          <w:color w:val="000000"/>
          <w:sz w:val="32"/>
          <w:szCs w:val="32"/>
          <w:lang w:eastAsia="zh-CN"/>
        </w:rPr>
        <w:t>竖立警示牌</w:t>
      </w:r>
      <w:r>
        <w:rPr>
          <w:rFonts w:hint="eastAsia" w:ascii="Times New Roman" w:hAnsi="Times New Roman" w:eastAsia="仿宋_GB2312"/>
          <w:color w:val="000000"/>
          <w:sz w:val="32"/>
          <w:szCs w:val="32"/>
          <w:lang w:eastAsia="zh-CN"/>
        </w:rPr>
        <w:t>、落实防范措施</w:t>
      </w:r>
      <w:r>
        <w:rPr>
          <w:rFonts w:ascii="Times New Roman" w:hAnsi="Times New Roman" w:eastAsia="仿宋_GB2312"/>
          <w:color w:val="000000"/>
          <w:sz w:val="32"/>
          <w:szCs w:val="32"/>
          <w:lang w:eastAsia="zh-CN"/>
        </w:rPr>
        <w:t>，确保隐患点周边人民群众生命财产安全。</w:t>
      </w:r>
      <w:r>
        <w:rPr>
          <w:rFonts w:hint="eastAsia" w:ascii="Times New Roman" w:hAnsi="Times New Roman" w:eastAsia="仿宋_GB2312"/>
          <w:color w:val="000000"/>
          <w:sz w:val="32"/>
          <w:szCs w:val="32"/>
          <w:lang w:eastAsia="zh-CN"/>
        </w:rPr>
        <w:t>各有关单位要完善本系统地质灾害风险点台账，制定年度治理计划，落实治理措施，及时消除隐患风险</w:t>
      </w:r>
      <w:r>
        <w:rPr>
          <w:rFonts w:ascii="Times New Roman" w:hAnsi="Times New Roman" w:eastAsia="仿宋_GB2312"/>
          <w:color w:val="000000"/>
          <w:sz w:val="32"/>
          <w:szCs w:val="32"/>
          <w:lang w:eastAsia="zh-CN"/>
        </w:rPr>
        <w:t>。</w:t>
      </w:r>
    </w:p>
    <w:p w14:paraId="3BB6E1D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color w:val="000000"/>
          <w:kern w:val="30"/>
          <w:szCs w:val="32"/>
        </w:rPr>
      </w:pPr>
      <w:r>
        <w:rPr>
          <w:rFonts w:ascii="Times New Roman" w:hAnsi="Times New Roman" w:eastAsia="楷体_GB2312"/>
          <w:color w:val="000000"/>
          <w:kern w:val="30"/>
          <w:szCs w:val="32"/>
        </w:rPr>
        <w:t>（三）加强监测预警，开展值班值守</w:t>
      </w:r>
    </w:p>
    <w:p w14:paraId="36A5233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olor w:val="000000"/>
          <w:szCs w:val="32"/>
          <w:lang w:eastAsia="zh-CN"/>
        </w:rPr>
      </w:pPr>
      <w:r>
        <w:rPr>
          <w:rFonts w:hint="eastAsia" w:ascii="仿宋_GB2312" w:hAnsi="仿宋_GB2312" w:cs="仿宋_GB2312"/>
          <w:color w:val="000000"/>
          <w:szCs w:val="32"/>
        </w:rPr>
        <w:t>各级自然资源</w:t>
      </w:r>
      <w:r>
        <w:rPr>
          <w:rFonts w:hint="eastAsia" w:ascii="仿宋_GB2312" w:hAnsi="仿宋_GB2312" w:cs="仿宋_GB2312"/>
          <w:color w:val="000000"/>
          <w:szCs w:val="32"/>
          <w:lang w:eastAsia="zh-CN"/>
        </w:rPr>
        <w:t>主管</w:t>
      </w:r>
      <w:r>
        <w:rPr>
          <w:rFonts w:hint="eastAsia" w:ascii="仿宋_GB2312" w:hAnsi="仿宋_GB2312" w:cs="仿宋_GB2312"/>
          <w:color w:val="000000"/>
          <w:szCs w:val="32"/>
        </w:rPr>
        <w:t>部门要联合当地气象部门，做好</w:t>
      </w:r>
      <w:r>
        <w:rPr>
          <w:rFonts w:hint="eastAsia" w:ascii="仿宋_GB2312" w:hAnsi="仿宋_GB2312" w:cs="仿宋_GB2312"/>
          <w:color w:val="000000"/>
          <w:szCs w:val="32"/>
          <w:lang w:eastAsia="zh-CN"/>
        </w:rPr>
        <w:t>市、县（区）</w:t>
      </w:r>
      <w:r>
        <w:rPr>
          <w:rFonts w:hint="eastAsia" w:ascii="仿宋_GB2312" w:hAnsi="仿宋_GB2312" w:cs="仿宋_GB2312"/>
          <w:color w:val="000000"/>
          <w:szCs w:val="32"/>
        </w:rPr>
        <w:t>地质灾害</w:t>
      </w:r>
      <w:r>
        <w:rPr>
          <w:rFonts w:hint="eastAsia" w:ascii="仿宋_GB2312" w:hAnsi="仿宋_GB2312" w:cs="仿宋_GB2312"/>
          <w:color w:val="000000"/>
          <w:szCs w:val="32"/>
          <w:lang w:eastAsia="zh-CN"/>
        </w:rPr>
        <w:t>风险</w:t>
      </w:r>
      <w:r>
        <w:rPr>
          <w:rFonts w:hint="eastAsia" w:ascii="仿宋_GB2312" w:hAnsi="仿宋_GB2312" w:cs="仿宋_GB2312"/>
          <w:color w:val="000000"/>
          <w:szCs w:val="32"/>
        </w:rPr>
        <w:t>气象预警预报工作，特别是强降雨过程的地质灾害实时预报，进一步完善地质灾害预警信息发布系统，</w:t>
      </w:r>
      <w:r>
        <w:rPr>
          <w:rFonts w:hint="eastAsia" w:ascii="仿宋_GB2312" w:hAnsi="仿宋_GB2312" w:cs="仿宋_GB2312"/>
          <w:color w:val="000000"/>
          <w:szCs w:val="32"/>
          <w:lang w:eastAsia="zh-CN"/>
        </w:rPr>
        <w:t>切实</w:t>
      </w:r>
      <w:r>
        <w:rPr>
          <w:rFonts w:hint="eastAsia" w:ascii="仿宋_GB2312" w:hAnsi="仿宋_GB2312" w:cs="仿宋_GB2312"/>
          <w:color w:val="000000"/>
          <w:szCs w:val="32"/>
        </w:rPr>
        <w:t>做到早预警、早准备、早撤离</w:t>
      </w:r>
      <w:r>
        <w:rPr>
          <w:rFonts w:hint="eastAsia" w:ascii="仿宋_GB2312" w:hAnsi="仿宋_GB2312" w:cs="仿宋_GB2312"/>
          <w:color w:val="000000"/>
          <w:szCs w:val="32"/>
          <w:lang w:eastAsia="zh-CN"/>
        </w:rPr>
        <w:t>。对</w:t>
      </w:r>
      <w:r>
        <w:rPr>
          <w:rFonts w:hint="eastAsia" w:ascii="仿宋_GB2312" w:hAnsi="仿宋_GB2312" w:cs="仿宋_GB2312"/>
          <w:color w:val="000000"/>
          <w:szCs w:val="32"/>
        </w:rPr>
        <w:t>发生地质灾害灾情险情或社会热点关注的事件，所在县</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区</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自然资源主管部门应迅速组织有关专业技术人员开展调查，编制应急调查报告。</w:t>
      </w:r>
      <w:r>
        <w:rPr>
          <w:rFonts w:hint="eastAsia" w:ascii="仿宋_GB2312" w:hAnsi="仿宋_GB2312" w:cs="仿宋_GB2312"/>
          <w:color w:val="000000"/>
          <w:szCs w:val="32"/>
          <w:lang w:eastAsia="zh-CN"/>
        </w:rPr>
        <w:t>要</w:t>
      </w:r>
      <w:r>
        <w:rPr>
          <w:rFonts w:hint="eastAsia" w:ascii="仿宋_GB2312" w:hAnsi="仿宋_GB2312" w:cs="仿宋_GB2312"/>
          <w:color w:val="000000"/>
          <w:szCs w:val="32"/>
        </w:rPr>
        <w:t>严格</w:t>
      </w:r>
      <w:r>
        <w:rPr>
          <w:rFonts w:hint="eastAsia" w:ascii="仿宋_GB2312" w:hAnsi="仿宋_GB2312" w:cs="仿宋_GB2312"/>
          <w:color w:val="000000"/>
          <w:szCs w:val="32"/>
          <w:lang w:eastAsia="zh-CN"/>
        </w:rPr>
        <w:t>落实</w:t>
      </w:r>
      <w:r>
        <w:rPr>
          <w:rFonts w:hint="eastAsia" w:ascii="仿宋_GB2312" w:hAnsi="仿宋_GB2312" w:cs="仿宋_GB2312"/>
          <w:color w:val="000000"/>
          <w:szCs w:val="32"/>
          <w:lang w:val="en-US" w:eastAsia="zh-CN"/>
        </w:rPr>
        <w:t>24</w:t>
      </w:r>
      <w:r>
        <w:rPr>
          <w:rFonts w:hint="eastAsia" w:ascii="仿宋_GB2312" w:hAnsi="仿宋_GB2312" w:cs="仿宋_GB2312"/>
          <w:color w:val="000000"/>
          <w:szCs w:val="32"/>
        </w:rPr>
        <w:t>小时专人值班和领导带班制度，发生人员伤亡和重大财产损失的地质灾害或者出现重大以上险情，必须在接到信息的</w:t>
      </w:r>
      <w:r>
        <w:rPr>
          <w:rFonts w:hint="eastAsia" w:ascii="仿宋_GB2312" w:hAnsi="仿宋_GB2312" w:cs="仿宋_GB2312"/>
          <w:color w:val="000000"/>
          <w:szCs w:val="32"/>
          <w:lang w:val="en-US" w:eastAsia="zh-CN"/>
        </w:rPr>
        <w:t>30分钟内电话上报，</w:t>
      </w:r>
      <w:r>
        <w:rPr>
          <w:rFonts w:hint="eastAsia" w:ascii="仿宋_GB2312" w:hAnsi="仿宋_GB2312" w:cs="仿宋_GB2312"/>
          <w:color w:val="000000"/>
          <w:szCs w:val="32"/>
        </w:rPr>
        <w:t>1小时内</w:t>
      </w:r>
      <w:r>
        <w:rPr>
          <w:rFonts w:hint="eastAsia" w:ascii="仿宋_GB2312" w:hAnsi="仿宋_GB2312" w:cs="仿宋_GB2312"/>
          <w:color w:val="000000"/>
          <w:szCs w:val="32"/>
          <w:lang w:eastAsia="zh-CN"/>
        </w:rPr>
        <w:t>书面形式</w:t>
      </w:r>
      <w:r>
        <w:rPr>
          <w:rFonts w:hint="eastAsia" w:ascii="仿宋_GB2312" w:hAnsi="仿宋_GB2312" w:cs="仿宋_GB2312"/>
          <w:color w:val="000000"/>
          <w:szCs w:val="32"/>
        </w:rPr>
        <w:t>速报，并及时续报抢险救灾进展和灾情险情变化</w:t>
      </w:r>
      <w:r>
        <w:rPr>
          <w:rFonts w:hint="eastAsia" w:ascii="仿宋_GB2312" w:hAnsi="仿宋_GB2312" w:cs="仿宋_GB2312"/>
          <w:color w:val="000000"/>
          <w:szCs w:val="32"/>
          <w:lang w:eastAsia="zh-CN"/>
        </w:rPr>
        <w:t>。</w:t>
      </w:r>
    </w:p>
    <w:p w14:paraId="7DEE8C6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color w:val="000000"/>
          <w:kern w:val="30"/>
          <w:szCs w:val="32"/>
        </w:rPr>
      </w:pPr>
      <w:r>
        <w:rPr>
          <w:rFonts w:ascii="Times New Roman" w:hAnsi="Times New Roman" w:eastAsia="楷体_GB2312"/>
          <w:color w:val="000000"/>
          <w:kern w:val="30"/>
          <w:szCs w:val="32"/>
        </w:rPr>
        <w:t>加强工程监管，严控削坡建设</w:t>
      </w:r>
    </w:p>
    <w:p w14:paraId="6456CD7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color w:val="000000"/>
          <w:szCs w:val="32"/>
        </w:rPr>
      </w:pPr>
      <w:r>
        <w:rPr>
          <w:rFonts w:hint="eastAsia" w:ascii="仿宋_GB2312" w:hAnsi="仿宋_GB2312" w:cs="仿宋_GB2312"/>
          <w:color w:val="000000"/>
          <w:szCs w:val="32"/>
        </w:rPr>
        <w:t>各</w:t>
      </w:r>
      <w:r>
        <w:rPr>
          <w:rFonts w:hint="eastAsia" w:ascii="仿宋_GB2312" w:hAnsi="仿宋_GB2312" w:cs="仿宋_GB2312"/>
          <w:color w:val="000000"/>
          <w:szCs w:val="32"/>
          <w:lang w:eastAsia="zh-CN"/>
        </w:rPr>
        <w:t>县（区）</w:t>
      </w:r>
      <w:r>
        <w:rPr>
          <w:rFonts w:hint="eastAsia" w:ascii="仿宋_GB2312" w:hAnsi="仿宋_GB2312" w:cs="仿宋_GB2312"/>
          <w:color w:val="000000"/>
          <w:szCs w:val="32"/>
        </w:rPr>
        <w:t>要严格执行地质灾害防治</w:t>
      </w:r>
      <w:r>
        <w:rPr>
          <w:rFonts w:hint="eastAsia" w:ascii="仿宋_GB2312" w:hAnsi="仿宋_GB2312" w:cs="仿宋_GB2312"/>
          <w:color w:val="000000"/>
          <w:szCs w:val="32"/>
          <w:lang w:eastAsia="zh-CN"/>
        </w:rPr>
        <w:t>“三同时”</w:t>
      </w:r>
      <w:r>
        <w:rPr>
          <w:rFonts w:hint="eastAsia" w:ascii="仿宋_GB2312" w:hAnsi="仿宋_GB2312" w:cs="仿宋_GB2312"/>
          <w:color w:val="000000"/>
          <w:szCs w:val="32"/>
        </w:rPr>
        <w:t>制度，严格依法监督建设活动，发现违法行为应及时制止和查处，督促整改，从源头上严控人为新增地质灾害隐患。各级人民政府</w:t>
      </w:r>
      <w:r>
        <w:rPr>
          <w:rFonts w:hint="eastAsia" w:ascii="仿宋_GB2312" w:hAnsi="仿宋_GB2312" w:cs="仿宋_GB2312"/>
          <w:color w:val="000000"/>
          <w:szCs w:val="32"/>
          <w:lang w:eastAsia="zh-CN"/>
        </w:rPr>
        <w:t>要统筹做好农村住房集中建设工作，要依据国土空间规划及有关要求，做好地质灾害风险评估工作，避开地质灾害危险区和地质灾害易发点，科学确定农村住房集中建设选址，并</w:t>
      </w:r>
      <w:r>
        <w:rPr>
          <w:rFonts w:hint="eastAsia" w:ascii="仿宋_GB2312" w:hAnsi="仿宋_GB2312" w:cs="仿宋_GB2312"/>
          <w:color w:val="000000"/>
          <w:szCs w:val="32"/>
        </w:rPr>
        <w:t>组织各行业主管部门集中力量对辖区内削坡地段重点开展排查</w:t>
      </w:r>
      <w:r>
        <w:rPr>
          <w:rFonts w:hint="eastAsia" w:ascii="仿宋_GB2312" w:hAnsi="仿宋_GB2312" w:cs="仿宋_GB2312"/>
          <w:color w:val="000000"/>
          <w:szCs w:val="32"/>
          <w:lang w:val="en-US" w:eastAsia="zh-CN"/>
        </w:rPr>
        <w:t>，</w:t>
      </w:r>
      <w:r>
        <w:rPr>
          <w:rFonts w:hint="eastAsia" w:ascii="仿宋_GB2312" w:hAnsi="仿宋_GB2312" w:eastAsia="仿宋_GB2312" w:cs="仿宋_GB2312"/>
          <w:color w:val="000000"/>
          <w:szCs w:val="32"/>
          <w:lang w:eastAsia="zh-CN"/>
        </w:rPr>
        <w:t>深入开展削坡建房风险排查整治工作，消除或有效降低削坡建房风险</w:t>
      </w:r>
      <w:r>
        <w:rPr>
          <w:rFonts w:hint="eastAsia" w:ascii="仿宋_GB2312" w:hAnsi="仿宋_GB2312" w:eastAsia="仿宋_GB2312" w:cs="仿宋_GB2312"/>
          <w:color w:val="000000"/>
          <w:szCs w:val="32"/>
        </w:rPr>
        <w:t>。</w:t>
      </w:r>
      <w:r>
        <w:rPr>
          <w:rFonts w:hint="eastAsia" w:ascii="仿宋_GB2312" w:hAnsi="仿宋_GB2312" w:cs="仿宋_GB2312"/>
          <w:color w:val="000000"/>
          <w:szCs w:val="32"/>
        </w:rPr>
        <w:t>针对工程建设削坡产生的地质灾害安全隐患，</w:t>
      </w:r>
      <w:r>
        <w:rPr>
          <w:rFonts w:hint="eastAsia" w:ascii="仿宋_GB2312" w:hAnsi="仿宋_GB2312" w:cs="仿宋_GB2312"/>
          <w:color w:val="000000"/>
          <w:szCs w:val="32"/>
          <w:lang w:eastAsia="zh-CN"/>
        </w:rPr>
        <w:t>相关行业主管部门</w:t>
      </w:r>
      <w:r>
        <w:rPr>
          <w:rFonts w:hint="eastAsia" w:ascii="仿宋_GB2312" w:hAnsi="仿宋_GB2312" w:cs="仿宋_GB2312"/>
          <w:color w:val="000000"/>
          <w:szCs w:val="32"/>
        </w:rPr>
        <w:t>要依法责令施工单位立即停止削坡行为，督促项目工程建设单位聘请有资质的地质灾害危险性评估机构进行地质灾害危险性评估。对经评估认为可能引发地质灾害或者可能遭受地质灾害危害的建设工程，按照“谁引发、谁治理”的原则，应当要求配套建设地质灾害治理工程</w:t>
      </w:r>
      <w:r>
        <w:rPr>
          <w:rFonts w:hint="eastAsia" w:ascii="仿宋_GB2312" w:hAnsi="仿宋_GB2312" w:cs="仿宋_GB2312"/>
          <w:color w:val="000000"/>
          <w:szCs w:val="32"/>
          <w:lang w:eastAsia="zh-CN"/>
        </w:rPr>
        <w:t>并依法予以监督。</w:t>
      </w:r>
    </w:p>
    <w:p w14:paraId="328B6F3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color w:val="000000"/>
          <w:kern w:val="30"/>
          <w:szCs w:val="32"/>
        </w:rPr>
      </w:pPr>
      <w:r>
        <w:rPr>
          <w:rFonts w:ascii="Times New Roman" w:hAnsi="Times New Roman" w:eastAsia="楷体_GB2312"/>
          <w:color w:val="000000"/>
          <w:kern w:val="30"/>
          <w:szCs w:val="32"/>
        </w:rPr>
        <w:t>（五）加</w:t>
      </w:r>
      <w:r>
        <w:rPr>
          <w:rFonts w:hint="eastAsia" w:ascii="Times New Roman" w:hAnsi="Times New Roman" w:eastAsia="楷体_GB2312"/>
          <w:color w:val="000000"/>
          <w:kern w:val="30"/>
          <w:szCs w:val="32"/>
          <w:lang w:eastAsia="zh-CN"/>
        </w:rPr>
        <w:t>大</w:t>
      </w:r>
      <w:r>
        <w:rPr>
          <w:rFonts w:ascii="Times New Roman" w:hAnsi="Times New Roman" w:eastAsia="楷体_GB2312"/>
          <w:color w:val="000000"/>
          <w:kern w:val="30"/>
          <w:szCs w:val="32"/>
        </w:rPr>
        <w:t>资金投入，持续推进隐患治理</w:t>
      </w:r>
    </w:p>
    <w:p w14:paraId="75861BB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color w:val="000000"/>
          <w:kern w:val="30"/>
          <w:szCs w:val="32"/>
          <w:highlight w:val="none"/>
        </w:rPr>
      </w:pPr>
      <w:r>
        <w:rPr>
          <w:rFonts w:ascii="Times New Roman" w:hAnsi="Times New Roman"/>
          <w:color w:val="000000"/>
          <w:kern w:val="30"/>
          <w:szCs w:val="32"/>
        </w:rPr>
        <w:t>各县</w:t>
      </w:r>
      <w:r>
        <w:rPr>
          <w:rFonts w:hint="eastAsia" w:ascii="Times New Roman" w:hAnsi="Times New Roman"/>
          <w:color w:val="000000"/>
          <w:kern w:val="30"/>
          <w:szCs w:val="32"/>
          <w:lang w:eastAsia="zh-CN"/>
        </w:rPr>
        <w:t>（区）</w:t>
      </w:r>
      <w:r>
        <w:rPr>
          <w:rFonts w:ascii="Times New Roman" w:hAnsi="Times New Roman"/>
          <w:color w:val="000000"/>
          <w:kern w:val="30"/>
          <w:szCs w:val="32"/>
        </w:rPr>
        <w:t>政府</w:t>
      </w:r>
      <w:r>
        <w:rPr>
          <w:rFonts w:hint="eastAsia" w:ascii="Times New Roman" w:hAnsi="Times New Roman"/>
          <w:color w:val="000000"/>
          <w:kern w:val="30"/>
          <w:szCs w:val="32"/>
          <w:lang w:eastAsia="zh-CN"/>
        </w:rPr>
        <w:t>（管委会）</w:t>
      </w:r>
      <w:r>
        <w:rPr>
          <w:rFonts w:ascii="Times New Roman" w:hAnsi="Times New Roman"/>
          <w:color w:val="000000"/>
          <w:kern w:val="30"/>
          <w:szCs w:val="32"/>
        </w:rPr>
        <w:t>要加大地质灾害防治工作的资金投入力度，为地质灾害调查、评估、监测、搬迁、治理、应急救援队伍建设及信息平台体系建设等提供必需的工作经费，确保地质灾害防治和应急工作有序开展。多方筹集资金，加快本</w:t>
      </w:r>
      <w:r>
        <w:rPr>
          <w:rFonts w:hint="eastAsia" w:ascii="Times New Roman" w:hAnsi="Times New Roman"/>
          <w:color w:val="000000"/>
          <w:kern w:val="30"/>
          <w:szCs w:val="32"/>
          <w:lang w:eastAsia="zh-CN"/>
        </w:rPr>
        <w:t>辖</w:t>
      </w:r>
      <w:r>
        <w:rPr>
          <w:rFonts w:ascii="Times New Roman" w:hAnsi="Times New Roman"/>
          <w:color w:val="000000"/>
          <w:kern w:val="30"/>
          <w:szCs w:val="32"/>
        </w:rPr>
        <w:t>区地质灾害隐患点搬迁与治理工作，因自然作用形成的地质灾害治理，由自然资源主管部门组织实施，要积极做好申报立项，争取上级财政防治资金；</w:t>
      </w:r>
      <w:bookmarkStart w:id="0" w:name="OLE_LINK1"/>
      <w:r>
        <w:rPr>
          <w:rFonts w:ascii="Times New Roman" w:hAnsi="Times New Roman"/>
          <w:color w:val="000000"/>
          <w:kern w:val="30"/>
          <w:szCs w:val="32"/>
          <w:highlight w:val="none"/>
        </w:rPr>
        <w:t>因工程建设等人为活动引发的地质灾害隐患依法由业主单位和行业</w:t>
      </w:r>
      <w:r>
        <w:rPr>
          <w:rFonts w:hint="eastAsia" w:ascii="Times New Roman" w:hAnsi="Times New Roman"/>
          <w:color w:val="000000"/>
          <w:kern w:val="30"/>
          <w:szCs w:val="32"/>
          <w:highlight w:val="none"/>
          <w:lang w:eastAsia="zh-CN"/>
        </w:rPr>
        <w:t>主管部门</w:t>
      </w:r>
      <w:r>
        <w:rPr>
          <w:rFonts w:ascii="Times New Roman" w:hAnsi="Times New Roman"/>
          <w:color w:val="000000"/>
          <w:kern w:val="30"/>
          <w:szCs w:val="32"/>
          <w:highlight w:val="none"/>
        </w:rPr>
        <w:t xml:space="preserve">承担治理和监管责任。 </w:t>
      </w:r>
      <w:bookmarkEnd w:id="0"/>
    </w:p>
    <w:p w14:paraId="2B49C6C7">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楷体_GB2312"/>
          <w:color w:val="000000"/>
          <w:kern w:val="30"/>
          <w:szCs w:val="32"/>
        </w:rPr>
      </w:pPr>
      <w:r>
        <w:rPr>
          <w:rFonts w:ascii="Times New Roman" w:hAnsi="Times New Roman" w:eastAsia="楷体_GB2312"/>
          <w:color w:val="000000"/>
          <w:kern w:val="30"/>
          <w:szCs w:val="32"/>
        </w:rPr>
        <w:t>（六）加强宣传培训，普及防灾知识</w:t>
      </w:r>
    </w:p>
    <w:p w14:paraId="57E18AF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kern w:val="30"/>
          <w:szCs w:val="32"/>
        </w:rPr>
      </w:pPr>
      <w:r>
        <w:rPr>
          <w:rFonts w:hint="eastAsia" w:ascii="仿宋_GB2312" w:hAnsi="仿宋_GB2312" w:cs="仿宋_GB2312"/>
          <w:color w:val="000000"/>
          <w:kern w:val="30"/>
          <w:szCs w:val="32"/>
        </w:rPr>
        <w:t>要充分利用电视、广播、报纸、网络等媒体，以</w:t>
      </w:r>
      <w:r>
        <w:rPr>
          <w:rFonts w:hint="eastAsia" w:ascii="仿宋_GB2312" w:hAnsi="仿宋_GB2312" w:cs="仿宋_GB2312"/>
          <w:color w:val="000000"/>
          <w:kern w:val="30"/>
          <w:szCs w:val="32"/>
          <w:lang w:eastAsia="zh-CN"/>
        </w:rPr>
        <w:t>“</w:t>
      </w:r>
      <w:r>
        <w:rPr>
          <w:rFonts w:hint="eastAsia" w:ascii="仿宋_GB2312" w:hAnsi="仿宋_GB2312" w:cs="仿宋_GB2312"/>
          <w:color w:val="000000"/>
          <w:kern w:val="30"/>
          <w:szCs w:val="32"/>
        </w:rPr>
        <w:t>4·22</w:t>
      </w:r>
      <w:r>
        <w:rPr>
          <w:rFonts w:hint="eastAsia" w:ascii="仿宋_GB2312" w:hAnsi="仿宋_GB2312" w:cs="仿宋_GB2312"/>
          <w:color w:val="000000"/>
          <w:kern w:val="30"/>
          <w:szCs w:val="32"/>
          <w:lang w:eastAsia="zh-CN"/>
        </w:rPr>
        <w:t>”</w:t>
      </w:r>
      <w:r>
        <w:rPr>
          <w:rFonts w:hint="eastAsia" w:ascii="仿宋_GB2312" w:hAnsi="仿宋_GB2312" w:cs="仿宋_GB2312"/>
          <w:color w:val="000000"/>
          <w:kern w:val="30"/>
          <w:szCs w:val="32"/>
        </w:rPr>
        <w:t>世界地球日、</w:t>
      </w:r>
      <w:r>
        <w:rPr>
          <w:rFonts w:hint="eastAsia" w:ascii="仿宋_GB2312" w:hAnsi="仿宋_GB2312" w:cs="仿宋_GB2312"/>
          <w:color w:val="000000"/>
          <w:kern w:val="30"/>
          <w:szCs w:val="32"/>
          <w:lang w:eastAsia="zh-CN"/>
        </w:rPr>
        <w:t>“</w:t>
      </w:r>
      <w:r>
        <w:rPr>
          <w:rFonts w:hint="eastAsia" w:ascii="仿宋_GB2312" w:hAnsi="仿宋_GB2312" w:cs="仿宋_GB2312"/>
          <w:color w:val="000000"/>
          <w:kern w:val="30"/>
          <w:szCs w:val="32"/>
        </w:rPr>
        <w:t>5·12</w:t>
      </w:r>
      <w:r>
        <w:rPr>
          <w:rFonts w:hint="eastAsia" w:ascii="仿宋_GB2312" w:hAnsi="仿宋_GB2312" w:cs="仿宋_GB2312"/>
          <w:color w:val="000000"/>
          <w:kern w:val="30"/>
          <w:szCs w:val="32"/>
          <w:lang w:eastAsia="zh-CN"/>
        </w:rPr>
        <w:t>”</w:t>
      </w:r>
      <w:r>
        <w:rPr>
          <w:rFonts w:hint="eastAsia" w:ascii="仿宋_GB2312" w:hAnsi="仿宋_GB2312" w:cs="仿宋_GB2312"/>
          <w:color w:val="000000"/>
          <w:kern w:val="30"/>
          <w:szCs w:val="32"/>
        </w:rPr>
        <w:t>防灾减灾日等，采取举办培训班、媒体播报、发放宣传材料、现场讲解防灾避灾知识等多种方式，加强法规政策和防灾减灾科普知识的宣传普及，不断提</w:t>
      </w:r>
      <w:r>
        <w:rPr>
          <w:rFonts w:hint="eastAsia" w:ascii="仿宋_GB2312" w:hAnsi="仿宋_GB2312" w:cs="仿宋_GB2312"/>
          <w:color w:val="000000"/>
          <w:kern w:val="30"/>
          <w:szCs w:val="32"/>
          <w:lang w:eastAsia="zh-CN"/>
        </w:rPr>
        <w:t>升</w:t>
      </w:r>
      <w:r>
        <w:rPr>
          <w:rFonts w:hint="eastAsia" w:ascii="仿宋_GB2312" w:hAnsi="仿宋_GB2312" w:cs="仿宋_GB2312"/>
          <w:color w:val="000000"/>
          <w:kern w:val="30"/>
          <w:szCs w:val="32"/>
        </w:rPr>
        <w:t>社会各界和广大群众防灾避险的意识和能力。要加强业务和技能培训，不断提高基层地质灾害防治管理人员有效应对突发地质灾害的技能。要加强地质灾害应急演练，尤其对威胁人数在100人以上的地质灾害隐患点，要组织开展受威胁对象参与的应急避险演练。</w:t>
      </w:r>
    </w:p>
    <w:p w14:paraId="511DC51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黑体"/>
          <w:color w:val="000000"/>
          <w:kern w:val="30"/>
          <w:szCs w:val="32"/>
        </w:rPr>
      </w:pPr>
      <w:r>
        <w:rPr>
          <w:rFonts w:ascii="Times New Roman" w:hAnsi="Times New Roman" w:eastAsia="黑体"/>
          <w:color w:val="000000"/>
          <w:kern w:val="30"/>
          <w:szCs w:val="32"/>
        </w:rPr>
        <w:t>六、地质灾害监测预防及应急处置</w:t>
      </w:r>
    </w:p>
    <w:p w14:paraId="1FCE4EC7">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color w:val="000000"/>
          <w:kern w:val="30"/>
          <w:szCs w:val="32"/>
        </w:rPr>
      </w:pPr>
      <w:r>
        <w:rPr>
          <w:rFonts w:ascii="Times New Roman" w:hAnsi="Times New Roman"/>
          <w:color w:val="000000"/>
          <w:kern w:val="30"/>
          <w:szCs w:val="32"/>
        </w:rPr>
        <w:t>根据《河源市贯彻落实国务院关于加强地质灾害防治工作决定重点工作分工方案》《河源市突发地质灾害应急预案》要求，各级人民政府是地质灾害防治工作的责任主体，各县</w:t>
      </w:r>
      <w:r>
        <w:rPr>
          <w:rFonts w:hint="eastAsia" w:ascii="Times New Roman" w:hAnsi="Times New Roman"/>
          <w:color w:val="000000"/>
          <w:kern w:val="30"/>
          <w:szCs w:val="32"/>
          <w:lang w:eastAsia="zh-CN"/>
        </w:rPr>
        <w:t>（区）</w:t>
      </w:r>
      <w:r>
        <w:rPr>
          <w:rFonts w:ascii="Times New Roman" w:hAnsi="Times New Roman"/>
          <w:color w:val="000000"/>
          <w:kern w:val="30"/>
          <w:szCs w:val="32"/>
        </w:rPr>
        <w:t>自然资源、财政、应急、教育、生态环境、水务、交通、住建、旅游、气象等有关部门应按照</w:t>
      </w:r>
      <w:r>
        <w:rPr>
          <w:rFonts w:hint="eastAsia" w:ascii="Times New Roman" w:hAnsi="Times New Roman"/>
          <w:color w:val="000000"/>
          <w:kern w:val="30"/>
          <w:szCs w:val="32"/>
          <w:lang w:eastAsia="zh-CN"/>
        </w:rPr>
        <w:t>“</w:t>
      </w:r>
      <w:r>
        <w:rPr>
          <w:rFonts w:ascii="Times New Roman" w:hAnsi="Times New Roman"/>
          <w:color w:val="000000"/>
          <w:kern w:val="30"/>
          <w:szCs w:val="32"/>
        </w:rPr>
        <w:t>政府领导，部门联动，属地负责</w:t>
      </w:r>
      <w:r>
        <w:rPr>
          <w:rFonts w:hint="eastAsia" w:ascii="Times New Roman" w:hAnsi="Times New Roman"/>
          <w:color w:val="000000"/>
          <w:kern w:val="30"/>
          <w:szCs w:val="32"/>
          <w:lang w:eastAsia="zh-CN"/>
        </w:rPr>
        <w:t>”</w:t>
      </w:r>
      <w:r>
        <w:rPr>
          <w:rFonts w:ascii="Times New Roman" w:hAnsi="Times New Roman"/>
          <w:color w:val="000000"/>
          <w:kern w:val="30"/>
          <w:szCs w:val="32"/>
        </w:rPr>
        <w:t>原则，切实加强对本辖区、本系统地质灾害的监测预防、综合治理与应急管理工作。</w:t>
      </w:r>
      <w:r>
        <w:rPr>
          <w:rFonts w:hint="eastAsia" w:ascii="Times New Roman" w:hAnsi="Times New Roman"/>
          <w:color w:val="000000"/>
          <w:kern w:val="30"/>
          <w:szCs w:val="32"/>
          <w:lang w:eastAsia="zh-CN"/>
        </w:rPr>
        <w:t>各</w:t>
      </w:r>
      <w:r>
        <w:rPr>
          <w:rFonts w:ascii="Times New Roman" w:hAnsi="Times New Roman"/>
          <w:color w:val="000000"/>
          <w:kern w:val="30"/>
          <w:szCs w:val="32"/>
        </w:rPr>
        <w:t>县</w:t>
      </w:r>
      <w:r>
        <w:rPr>
          <w:rFonts w:hint="eastAsia" w:ascii="Times New Roman" w:hAnsi="Times New Roman"/>
          <w:color w:val="000000"/>
          <w:kern w:val="30"/>
          <w:szCs w:val="32"/>
          <w:lang w:eastAsia="zh-CN"/>
        </w:rPr>
        <w:t>（区）</w:t>
      </w:r>
      <w:r>
        <w:rPr>
          <w:rFonts w:ascii="Times New Roman" w:hAnsi="Times New Roman"/>
          <w:color w:val="000000"/>
          <w:kern w:val="30"/>
          <w:szCs w:val="32"/>
        </w:rPr>
        <w:t>政府</w:t>
      </w:r>
      <w:r>
        <w:rPr>
          <w:rFonts w:hint="eastAsia" w:ascii="Times New Roman" w:hAnsi="Times New Roman"/>
          <w:color w:val="000000"/>
          <w:kern w:val="30"/>
          <w:szCs w:val="32"/>
          <w:lang w:eastAsia="zh-CN"/>
        </w:rPr>
        <w:t>（管委会）</w:t>
      </w:r>
      <w:r>
        <w:rPr>
          <w:rFonts w:ascii="Times New Roman" w:hAnsi="Times New Roman"/>
          <w:color w:val="000000"/>
          <w:kern w:val="30"/>
          <w:szCs w:val="32"/>
        </w:rPr>
        <w:t>要配备人员和必要的交通、通信、抢险救灾等地质灾害应急装备，落实人员经费，确保各项工作正常开展。</w:t>
      </w:r>
    </w:p>
    <w:p w14:paraId="4C93A81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color w:val="000000"/>
          <w:kern w:val="30"/>
          <w:szCs w:val="32"/>
        </w:rPr>
      </w:pPr>
      <w:bookmarkStart w:id="1" w:name="OLE_LINK2"/>
      <w:r>
        <w:rPr>
          <w:rFonts w:hint="eastAsia" w:ascii="Times New Roman" w:hAnsi="Times New Roman"/>
          <w:color w:val="000000"/>
          <w:kern w:val="30"/>
          <w:szCs w:val="32"/>
          <w:lang w:eastAsia="zh-CN"/>
        </w:rPr>
        <w:t>各</w:t>
      </w:r>
      <w:r>
        <w:rPr>
          <w:rFonts w:ascii="Times New Roman" w:hAnsi="Times New Roman"/>
          <w:color w:val="000000"/>
          <w:kern w:val="30"/>
          <w:szCs w:val="32"/>
        </w:rPr>
        <w:t>县</w:t>
      </w:r>
      <w:r>
        <w:rPr>
          <w:rFonts w:hint="eastAsia" w:ascii="Times New Roman" w:hAnsi="Times New Roman"/>
          <w:color w:val="000000"/>
          <w:kern w:val="30"/>
          <w:szCs w:val="32"/>
          <w:lang w:eastAsia="zh-CN"/>
        </w:rPr>
        <w:t>（区）</w:t>
      </w:r>
      <w:r>
        <w:rPr>
          <w:rFonts w:ascii="Times New Roman" w:hAnsi="Times New Roman"/>
          <w:color w:val="000000"/>
          <w:kern w:val="30"/>
          <w:szCs w:val="32"/>
        </w:rPr>
        <w:t>政府</w:t>
      </w:r>
      <w:r>
        <w:rPr>
          <w:rFonts w:hint="eastAsia" w:ascii="Times New Roman" w:hAnsi="Times New Roman"/>
          <w:color w:val="000000"/>
          <w:kern w:val="30"/>
          <w:szCs w:val="32"/>
          <w:lang w:eastAsia="zh-CN"/>
        </w:rPr>
        <w:t>（管委会）</w:t>
      </w:r>
      <w:r>
        <w:rPr>
          <w:rFonts w:ascii="Times New Roman" w:hAnsi="Times New Roman"/>
          <w:color w:val="000000"/>
          <w:kern w:val="30"/>
          <w:szCs w:val="32"/>
        </w:rPr>
        <w:t>要抓紧修订完善辖区突发地质灾害应急预案及应急响应工作方案。</w:t>
      </w:r>
      <w:bookmarkEnd w:id="1"/>
      <w:r>
        <w:rPr>
          <w:rFonts w:ascii="Times New Roman" w:hAnsi="Times New Roman"/>
          <w:color w:val="000000"/>
          <w:kern w:val="30"/>
          <w:szCs w:val="32"/>
        </w:rPr>
        <w:t>对于重要地质灾害危险点，要制定单点地质灾害防灾避险预案，并向社会公布。抓好突发地质灾害应急的各项准备工作，一旦发生重大地质灾害灾情或险情，应及时启动突发地质灾害应急预案。出现紧急险情，当地政府应采取果断措施，及时组织受威胁群众转移避让，并保障临时避灾群众的基本生活条件。各有关部门应当按照突发地质灾害应急预案的分工，做好相应的应急工作，根据需要组织开展应急排危除险，确保人民群众生命安全，力争全市实现</w:t>
      </w:r>
      <w:r>
        <w:rPr>
          <w:rFonts w:hint="eastAsia" w:ascii="Times New Roman" w:hAnsi="Times New Roman"/>
          <w:color w:val="000000"/>
          <w:kern w:val="30"/>
          <w:szCs w:val="32"/>
          <w:lang w:eastAsia="zh-CN"/>
        </w:rPr>
        <w:t>“</w:t>
      </w:r>
      <w:r>
        <w:rPr>
          <w:rFonts w:ascii="Times New Roman" w:hAnsi="Times New Roman"/>
          <w:color w:val="000000"/>
          <w:kern w:val="30"/>
          <w:szCs w:val="32"/>
        </w:rPr>
        <w:t>零伤亡</w:t>
      </w:r>
      <w:r>
        <w:rPr>
          <w:rFonts w:hint="eastAsia" w:ascii="Times New Roman" w:hAnsi="Times New Roman"/>
          <w:color w:val="000000"/>
          <w:kern w:val="30"/>
          <w:szCs w:val="32"/>
          <w:lang w:eastAsia="zh-CN"/>
        </w:rPr>
        <w:t>”</w:t>
      </w:r>
      <w:r>
        <w:rPr>
          <w:rFonts w:ascii="Times New Roman" w:hAnsi="Times New Roman"/>
          <w:color w:val="000000"/>
          <w:kern w:val="30"/>
          <w:szCs w:val="32"/>
        </w:rPr>
        <w:t>目标。</w:t>
      </w:r>
    </w:p>
    <w:p w14:paraId="6E93864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color w:val="000000"/>
          <w:kern w:val="30"/>
          <w:szCs w:val="32"/>
        </w:rPr>
      </w:pPr>
    </w:p>
    <w:p w14:paraId="7A574D3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cs="仿宋_GB2312"/>
          <w:color w:val="000000"/>
          <w:kern w:val="30"/>
          <w:szCs w:val="32"/>
        </w:rPr>
      </w:pPr>
      <w:r>
        <w:rPr>
          <w:rFonts w:hint="eastAsia" w:ascii="仿宋_GB2312" w:hAnsi="仿宋_GB2312" w:cs="仿宋_GB2312"/>
          <w:color w:val="000000"/>
          <w:kern w:val="30"/>
          <w:szCs w:val="32"/>
        </w:rPr>
        <w:t>附件</w:t>
      </w:r>
      <w:r>
        <w:rPr>
          <w:rFonts w:hint="eastAsia" w:ascii="仿宋_GB2312" w:hAnsi="仿宋_GB2312" w:cs="仿宋_GB2312"/>
          <w:color w:val="000000"/>
          <w:kern w:val="30"/>
          <w:szCs w:val="32"/>
          <w:lang w:eastAsia="zh-CN"/>
        </w:rPr>
        <w:t>：</w:t>
      </w:r>
      <w:r>
        <w:rPr>
          <w:rFonts w:hint="eastAsia" w:ascii="仿宋_GB2312" w:hAnsi="仿宋_GB2312" w:cs="仿宋_GB2312"/>
          <w:color w:val="000000"/>
          <w:kern w:val="30"/>
          <w:szCs w:val="32"/>
        </w:rPr>
        <w:t>1.河源市</w:t>
      </w:r>
      <w:r>
        <w:rPr>
          <w:rFonts w:hint="eastAsia" w:ascii="仿宋_GB2312" w:hAnsi="仿宋_GB2312" w:cs="仿宋_GB2312"/>
          <w:color w:val="000000"/>
          <w:kern w:val="30"/>
          <w:szCs w:val="32"/>
          <w:lang w:eastAsia="zh-CN"/>
        </w:rPr>
        <w:t>2025</w:t>
      </w:r>
      <w:r>
        <w:rPr>
          <w:rFonts w:hint="eastAsia" w:ascii="仿宋_GB2312" w:hAnsi="仿宋_GB2312" w:cs="仿宋_GB2312"/>
          <w:color w:val="000000"/>
          <w:kern w:val="30"/>
          <w:szCs w:val="32"/>
        </w:rPr>
        <w:t>年地质灾害隐患点情况</w:t>
      </w:r>
    </w:p>
    <w:p w14:paraId="1AB288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00" w:firstLine="632" w:firstLineChars="200"/>
        <w:textAlignment w:val="auto"/>
        <w:rPr>
          <w:rFonts w:hint="eastAsia" w:ascii="仿宋_GB2312" w:hAnsi="仿宋_GB2312" w:cs="仿宋_GB2312"/>
          <w:color w:val="000000"/>
          <w:kern w:val="30"/>
          <w:szCs w:val="32"/>
        </w:rPr>
      </w:pPr>
      <w:r>
        <w:rPr>
          <w:rFonts w:hint="eastAsia" w:ascii="仿宋_GB2312" w:hAnsi="仿宋_GB2312" w:cs="仿宋_GB2312"/>
          <w:color w:val="000000"/>
          <w:kern w:val="30"/>
          <w:szCs w:val="32"/>
          <w:lang w:val="en-US" w:eastAsia="zh-CN"/>
        </w:rPr>
        <w:t>2.</w:t>
      </w:r>
      <w:r>
        <w:rPr>
          <w:rFonts w:hint="eastAsia" w:ascii="仿宋_GB2312" w:hAnsi="仿宋_GB2312" w:cs="仿宋_GB2312"/>
          <w:color w:val="000000"/>
          <w:kern w:val="30"/>
          <w:szCs w:val="32"/>
        </w:rPr>
        <w:t>河源市</w:t>
      </w:r>
      <w:r>
        <w:rPr>
          <w:rFonts w:hint="eastAsia" w:ascii="仿宋_GB2312" w:hAnsi="仿宋_GB2312" w:cs="仿宋_GB2312"/>
          <w:color w:val="000000"/>
          <w:kern w:val="30"/>
          <w:szCs w:val="32"/>
          <w:lang w:eastAsia="zh-CN"/>
        </w:rPr>
        <w:t>2025</w:t>
      </w:r>
      <w:r>
        <w:rPr>
          <w:rFonts w:hint="eastAsia" w:ascii="仿宋_GB2312" w:hAnsi="仿宋_GB2312" w:cs="仿宋_GB2312"/>
          <w:color w:val="000000"/>
          <w:kern w:val="30"/>
          <w:szCs w:val="32"/>
        </w:rPr>
        <w:t>年地质灾害防范重点区段</w:t>
      </w:r>
    </w:p>
    <w:p w14:paraId="47DD8D46">
      <w:pPr>
        <w:spacing w:line="600" w:lineRule="exact"/>
        <w:ind w:firstLine="1580" w:firstLineChars="500"/>
        <w:rPr>
          <w:rFonts w:hint="eastAsia"/>
        </w:rPr>
      </w:pPr>
      <w:r>
        <w:rPr>
          <w:rFonts w:hint="eastAsia" w:ascii="仿宋_GB2312" w:hAnsi="仿宋_GB2312" w:cs="仿宋_GB2312"/>
          <w:color w:val="000000"/>
          <w:kern w:val="30"/>
          <w:szCs w:val="32"/>
          <w:lang w:val="en-US" w:eastAsia="zh-CN"/>
        </w:rPr>
        <w:t>3.责任单位工作职责清单</w:t>
      </w:r>
    </w:p>
    <w:p w14:paraId="5FDCC30C">
      <w:pPr>
        <w:spacing w:line="600" w:lineRule="exact"/>
        <w:rPr>
          <w:rFonts w:hint="eastAsia"/>
        </w:rPr>
      </w:pPr>
    </w:p>
    <w:p w14:paraId="24C564FC">
      <w:pPr>
        <w:spacing w:line="600" w:lineRule="exact"/>
        <w:rPr>
          <w:rFonts w:hint="eastAsia"/>
        </w:rPr>
      </w:pPr>
    </w:p>
    <w:p w14:paraId="303D005F">
      <w:pPr>
        <w:spacing w:line="600" w:lineRule="exact"/>
        <w:rPr>
          <w:rFonts w:hint="eastAsia"/>
        </w:rPr>
      </w:pPr>
    </w:p>
    <w:p w14:paraId="643F93FB">
      <w:pPr>
        <w:spacing w:line="600" w:lineRule="exact"/>
        <w:rPr>
          <w:rFonts w:hint="eastAsia"/>
        </w:rPr>
      </w:pPr>
    </w:p>
    <w:p w14:paraId="3ABAF28F">
      <w:pPr>
        <w:spacing w:line="600" w:lineRule="exact"/>
        <w:rPr>
          <w:rFonts w:hint="eastAsia"/>
        </w:rPr>
      </w:pPr>
    </w:p>
    <w:p w14:paraId="18F23135">
      <w:pPr>
        <w:spacing w:line="600" w:lineRule="exact"/>
        <w:rPr>
          <w:rFonts w:hint="eastAsia"/>
        </w:rPr>
      </w:pPr>
    </w:p>
    <w:p w14:paraId="69F991EF">
      <w:pPr>
        <w:spacing w:line="600" w:lineRule="exact"/>
        <w:rPr>
          <w:rFonts w:hint="eastAsia"/>
        </w:rPr>
      </w:pPr>
    </w:p>
    <w:p w14:paraId="0327CDC2">
      <w:pPr>
        <w:spacing w:line="600" w:lineRule="exact"/>
        <w:rPr>
          <w:rFonts w:hint="eastAsia"/>
        </w:rPr>
      </w:pPr>
    </w:p>
    <w:p w14:paraId="3CB49973">
      <w:pPr>
        <w:spacing w:line="600" w:lineRule="exact"/>
        <w:rPr>
          <w:rFonts w:hint="eastAsia"/>
        </w:rPr>
      </w:pPr>
    </w:p>
    <w:p w14:paraId="05955F1E">
      <w:pPr>
        <w:spacing w:line="600" w:lineRule="exact"/>
        <w:rPr>
          <w:rFonts w:hint="eastAsia"/>
        </w:rPr>
      </w:pPr>
    </w:p>
    <w:p w14:paraId="7EAD5D4D">
      <w:pPr>
        <w:spacing w:line="600" w:lineRule="exact"/>
        <w:rPr>
          <w:rFonts w:hint="eastAsia"/>
        </w:rPr>
      </w:pPr>
    </w:p>
    <w:p w14:paraId="4CDEBE24">
      <w:pPr>
        <w:spacing w:line="600" w:lineRule="exact"/>
        <w:rPr>
          <w:rFonts w:hint="eastAsia"/>
        </w:rPr>
      </w:pPr>
    </w:p>
    <w:p w14:paraId="65C33FFE">
      <w:pPr>
        <w:spacing w:line="600" w:lineRule="exact"/>
        <w:rPr>
          <w:rFonts w:hint="eastAsia"/>
        </w:rPr>
      </w:pPr>
    </w:p>
    <w:p w14:paraId="5CF97775">
      <w:pPr>
        <w:spacing w:line="600" w:lineRule="exact"/>
        <w:rPr>
          <w:rFonts w:hint="eastAsia"/>
        </w:rPr>
      </w:pPr>
    </w:p>
    <w:p w14:paraId="5A737E19">
      <w:pPr>
        <w:spacing w:line="500" w:lineRule="exact"/>
        <w:rPr>
          <w:rFonts w:hint="eastAsia"/>
        </w:rPr>
      </w:pPr>
    </w:p>
    <w:p w14:paraId="6FB77D44">
      <w:pPr>
        <w:spacing w:line="600" w:lineRule="exact"/>
        <w:rPr>
          <w:rFonts w:hint="eastAsia"/>
        </w:rPr>
      </w:pPr>
    </w:p>
    <w:p w14:paraId="1934E186">
      <w:pPr>
        <w:spacing w:line="600" w:lineRule="exact"/>
        <w:rPr>
          <w:rFonts w:hint="eastAsia"/>
        </w:rPr>
      </w:pPr>
    </w:p>
    <w:p w14:paraId="73AD8948">
      <w:pPr>
        <w:spacing w:line="600" w:lineRule="exact"/>
        <w:rPr>
          <w:rFonts w:hint="eastAsia"/>
        </w:rPr>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pPr>
    </w:p>
    <w:p w14:paraId="0961B16E">
      <w:pPr>
        <w:ind w:firstLine="640" w:firstLineChars="200"/>
        <w:rPr>
          <w:rFonts w:ascii="黑体" w:hAnsi="黑体" w:eastAsia="黑体"/>
          <w:b w:val="0"/>
          <w:bCs/>
          <w:szCs w:val="32"/>
        </w:rPr>
      </w:pPr>
      <w:r>
        <w:rPr>
          <w:rFonts w:hint="eastAsia" w:ascii="黑体" w:hAnsi="黑体" w:eastAsia="黑体"/>
          <w:b w:val="0"/>
          <w:bCs/>
          <w:szCs w:val="32"/>
        </w:rPr>
        <w:t>附件1</w:t>
      </w:r>
    </w:p>
    <w:p w14:paraId="5433E029">
      <w:pPr>
        <w:ind w:firstLine="880" w:firstLineChars="20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44"/>
          <w:szCs w:val="44"/>
        </w:rPr>
        <w:t>河源市202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年地质灾害隐患点情况</w:t>
      </w:r>
    </w:p>
    <w:tbl>
      <w:tblPr>
        <w:tblStyle w:val="5"/>
        <w:tblW w:w="45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22"/>
        <w:gridCol w:w="729"/>
        <w:gridCol w:w="974"/>
        <w:gridCol w:w="749"/>
        <w:gridCol w:w="711"/>
        <w:gridCol w:w="803"/>
        <w:gridCol w:w="860"/>
        <w:gridCol w:w="1182"/>
        <w:gridCol w:w="749"/>
        <w:gridCol w:w="897"/>
        <w:gridCol w:w="1214"/>
        <w:gridCol w:w="827"/>
        <w:gridCol w:w="1008"/>
        <w:gridCol w:w="1350"/>
        <w:gridCol w:w="1116"/>
      </w:tblGrid>
      <w:tr w14:paraId="5752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29" w:type="pct"/>
            <w:vMerge w:val="restart"/>
            <w:noWrap w:val="0"/>
            <w:vAlign w:val="center"/>
          </w:tcPr>
          <w:p w14:paraId="45E0E113">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374" w:type="pct"/>
            <w:vMerge w:val="restart"/>
            <w:noWrap w:val="0"/>
            <w:vAlign w:val="center"/>
          </w:tcPr>
          <w:p w14:paraId="6D224DD5">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lang w:eastAsia="zh-CN"/>
              </w:rPr>
            </w:pPr>
            <w:r>
              <w:rPr>
                <w:rFonts w:hint="eastAsia" w:ascii="黑体" w:hAnsi="黑体" w:eastAsia="黑体" w:cs="黑体"/>
                <w:b w:val="0"/>
                <w:bCs/>
                <w:sz w:val="21"/>
                <w:szCs w:val="21"/>
              </w:rPr>
              <w:t>县</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rPr>
              <w:t>区</w:t>
            </w:r>
            <w:r>
              <w:rPr>
                <w:rFonts w:hint="eastAsia" w:ascii="黑体" w:hAnsi="黑体" w:eastAsia="黑体" w:cs="黑体"/>
                <w:b w:val="0"/>
                <w:bCs/>
                <w:sz w:val="21"/>
                <w:szCs w:val="21"/>
                <w:lang w:eastAsia="zh-CN"/>
              </w:rPr>
              <w:t>）</w:t>
            </w:r>
          </w:p>
        </w:tc>
        <w:tc>
          <w:tcPr>
            <w:tcW w:w="568" w:type="pct"/>
            <w:gridSpan w:val="2"/>
            <w:vMerge w:val="restart"/>
            <w:noWrap w:val="0"/>
            <w:vAlign w:val="center"/>
          </w:tcPr>
          <w:p w14:paraId="46B933B6">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20</w:t>
            </w:r>
            <w:r>
              <w:rPr>
                <w:rFonts w:hint="default" w:ascii="黑体" w:hAnsi="黑体" w:eastAsia="黑体" w:cs="黑体"/>
                <w:b w:val="0"/>
                <w:bCs/>
                <w:sz w:val="21"/>
                <w:szCs w:val="21"/>
              </w:rPr>
              <w:t>2</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年</w:t>
            </w:r>
            <w:r>
              <w:rPr>
                <w:rFonts w:hint="eastAsia" w:ascii="黑体" w:hAnsi="黑体" w:eastAsia="黑体" w:cs="黑体"/>
                <w:b w:val="0"/>
                <w:bCs/>
                <w:sz w:val="21"/>
                <w:szCs w:val="21"/>
                <w:lang w:eastAsia="zh-CN"/>
              </w:rPr>
              <w:t>初</w:t>
            </w:r>
            <w:r>
              <w:rPr>
                <w:rFonts w:hint="eastAsia" w:ascii="黑体" w:hAnsi="黑体" w:eastAsia="黑体" w:cs="黑体"/>
                <w:b w:val="0"/>
                <w:bCs/>
                <w:sz w:val="21"/>
                <w:szCs w:val="21"/>
              </w:rPr>
              <w:t>地质灾害隐患点（个）</w:t>
            </w:r>
          </w:p>
        </w:tc>
        <w:tc>
          <w:tcPr>
            <w:tcW w:w="1437" w:type="pct"/>
            <w:gridSpan w:val="5"/>
            <w:vMerge w:val="restart"/>
            <w:noWrap w:val="0"/>
            <w:vAlign w:val="center"/>
          </w:tcPr>
          <w:p w14:paraId="21CFCDCF">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20</w:t>
            </w:r>
            <w:r>
              <w:rPr>
                <w:rFonts w:hint="default" w:ascii="黑体" w:hAnsi="黑体" w:eastAsia="黑体" w:cs="黑体"/>
                <w:b w:val="0"/>
                <w:bCs/>
                <w:sz w:val="21"/>
                <w:szCs w:val="21"/>
              </w:rPr>
              <w:t>2</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年地质灾害隐患点（个）</w:t>
            </w:r>
          </w:p>
          <w:p w14:paraId="07544985">
            <w:pPr>
              <w:keepNext w:val="0"/>
              <w:keepLines w:val="0"/>
              <w:suppressLineNumbers w:val="0"/>
              <w:spacing w:before="0" w:beforeAutospacing="0" w:after="0" w:afterAutospacing="0" w:line="360" w:lineRule="exact"/>
              <w:ind w:left="0" w:right="0"/>
              <w:jc w:val="center"/>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(数据截至2024年12月31日)</w:t>
            </w:r>
          </w:p>
        </w:tc>
        <w:tc>
          <w:tcPr>
            <w:tcW w:w="2018" w:type="pct"/>
            <w:gridSpan w:val="6"/>
            <w:noWrap w:val="0"/>
            <w:vAlign w:val="center"/>
          </w:tcPr>
          <w:p w14:paraId="7FA337E8">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20</w:t>
            </w:r>
            <w:r>
              <w:rPr>
                <w:rFonts w:hint="default" w:ascii="黑体" w:hAnsi="黑体" w:eastAsia="黑体" w:cs="黑体"/>
                <w:b w:val="0"/>
                <w:bCs/>
                <w:sz w:val="21"/>
                <w:szCs w:val="21"/>
              </w:rPr>
              <w:t>2</w:t>
            </w: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年地质灾害隐患点情况(数据</w:t>
            </w:r>
            <w:r>
              <w:rPr>
                <w:rFonts w:hint="default" w:ascii="黑体" w:hAnsi="黑体" w:eastAsia="黑体" w:cs="黑体"/>
                <w:b w:val="0"/>
                <w:bCs/>
                <w:sz w:val="21"/>
                <w:szCs w:val="21"/>
              </w:rPr>
              <w:t>截</w:t>
            </w:r>
            <w:r>
              <w:rPr>
                <w:rFonts w:hint="eastAsia" w:ascii="黑体" w:hAnsi="黑体" w:eastAsia="黑体" w:cs="黑体"/>
                <w:b w:val="0"/>
                <w:bCs/>
                <w:sz w:val="21"/>
                <w:szCs w:val="21"/>
                <w:lang w:eastAsia="zh-CN"/>
              </w:rPr>
              <w:t>至</w:t>
            </w:r>
            <w:r>
              <w:rPr>
                <w:rFonts w:hint="eastAsia" w:ascii="黑体" w:hAnsi="黑体" w:eastAsia="黑体" w:cs="黑体"/>
                <w:b w:val="0"/>
                <w:bCs/>
                <w:sz w:val="21"/>
                <w:szCs w:val="21"/>
                <w:lang w:val="en-US" w:eastAsia="zh-CN"/>
              </w:rPr>
              <w:t>20</w:t>
            </w:r>
            <w:r>
              <w:rPr>
                <w:rFonts w:hint="eastAsia" w:ascii="黑体" w:hAnsi="黑体" w:eastAsia="黑体" w:cs="黑体"/>
                <w:b w:val="0"/>
                <w:bCs/>
                <w:sz w:val="21"/>
                <w:szCs w:val="21"/>
              </w:rPr>
              <w:t>2</w:t>
            </w: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年</w:t>
            </w:r>
            <w:r>
              <w:rPr>
                <w:rFonts w:hint="eastAsia" w:ascii="黑体" w:hAnsi="黑体" w:eastAsia="黑体" w:cs="黑体"/>
                <w:b w:val="0"/>
                <w:bCs/>
                <w:sz w:val="21"/>
                <w:szCs w:val="21"/>
                <w:lang w:val="en-US" w:eastAsia="zh-CN"/>
              </w:rPr>
              <w:t>3</w:t>
            </w:r>
            <w:r>
              <w:rPr>
                <w:rFonts w:hint="eastAsia" w:ascii="黑体" w:hAnsi="黑体" w:eastAsia="黑体" w:cs="黑体"/>
                <w:b w:val="0"/>
                <w:bCs/>
                <w:sz w:val="21"/>
                <w:szCs w:val="21"/>
              </w:rPr>
              <w:t>月</w:t>
            </w:r>
            <w:r>
              <w:rPr>
                <w:rFonts w:hint="eastAsia" w:ascii="黑体" w:hAnsi="黑体" w:eastAsia="黑体" w:cs="黑体"/>
                <w:b w:val="0"/>
                <w:bCs/>
                <w:sz w:val="21"/>
                <w:szCs w:val="21"/>
                <w:lang w:val="en-US" w:eastAsia="zh-CN"/>
              </w:rPr>
              <w:t>31</w:t>
            </w:r>
            <w:r>
              <w:rPr>
                <w:rFonts w:hint="eastAsia" w:ascii="黑体" w:hAnsi="黑体" w:eastAsia="黑体" w:cs="黑体"/>
                <w:b w:val="0"/>
                <w:bCs/>
                <w:sz w:val="21"/>
                <w:szCs w:val="21"/>
              </w:rPr>
              <w:t>日)</w:t>
            </w:r>
          </w:p>
        </w:tc>
        <w:tc>
          <w:tcPr>
            <w:tcW w:w="372" w:type="pct"/>
            <w:vMerge w:val="restart"/>
            <w:noWrap w:val="0"/>
            <w:vAlign w:val="center"/>
          </w:tcPr>
          <w:p w14:paraId="4B174972">
            <w:pPr>
              <w:keepNext w:val="0"/>
              <w:keepLines w:val="0"/>
              <w:widowControl/>
              <w:suppressLineNumbers w:val="0"/>
              <w:spacing w:before="0" w:beforeAutospacing="0" w:after="0" w:afterAutospacing="0"/>
              <w:ind w:left="0" w:right="0"/>
              <w:jc w:val="center"/>
              <w:rPr>
                <w:rFonts w:hint="default" w:ascii="黑体" w:hAnsi="黑体" w:eastAsia="黑体" w:cs="黑体"/>
                <w:b w:val="0"/>
                <w:bCs/>
                <w:sz w:val="21"/>
                <w:szCs w:val="21"/>
              </w:rPr>
            </w:pPr>
          </w:p>
          <w:p w14:paraId="2EE1AC77">
            <w:pPr>
              <w:keepNext w:val="0"/>
              <w:keepLines w:val="0"/>
              <w:widowControl/>
              <w:suppressLineNumbers w:val="0"/>
              <w:spacing w:before="0" w:beforeAutospacing="0" w:after="0" w:afterAutospacing="0"/>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备注</w:t>
            </w:r>
          </w:p>
        </w:tc>
      </w:tr>
      <w:tr w14:paraId="2BB9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29" w:type="pct"/>
            <w:vMerge w:val="continue"/>
            <w:noWrap w:val="0"/>
            <w:vAlign w:val="top"/>
          </w:tcPr>
          <w:p w14:paraId="2F6F0F13">
            <w:pPr>
              <w:keepNext w:val="0"/>
              <w:keepLines w:val="0"/>
              <w:suppressLineNumbers w:val="0"/>
              <w:spacing w:before="0" w:beforeAutospacing="0" w:after="0" w:afterAutospacing="0"/>
              <w:ind w:left="0" w:right="0"/>
              <w:jc w:val="center"/>
              <w:rPr>
                <w:rFonts w:hint="eastAsia" w:ascii="黑体" w:hAnsi="黑体" w:eastAsia="黑体" w:cs="黑体"/>
                <w:b w:val="0"/>
                <w:bCs/>
                <w:sz w:val="21"/>
                <w:szCs w:val="21"/>
              </w:rPr>
            </w:pPr>
          </w:p>
        </w:tc>
        <w:tc>
          <w:tcPr>
            <w:tcW w:w="374" w:type="pct"/>
            <w:vMerge w:val="continue"/>
            <w:noWrap w:val="0"/>
            <w:vAlign w:val="top"/>
          </w:tcPr>
          <w:p w14:paraId="35D0CC99">
            <w:pPr>
              <w:keepNext w:val="0"/>
              <w:keepLines w:val="0"/>
              <w:suppressLineNumbers w:val="0"/>
              <w:spacing w:before="0" w:beforeAutospacing="0" w:after="0" w:afterAutospacing="0"/>
              <w:ind w:left="0" w:right="0"/>
              <w:jc w:val="center"/>
              <w:rPr>
                <w:rFonts w:hint="eastAsia" w:ascii="黑体" w:hAnsi="黑体" w:eastAsia="黑体" w:cs="黑体"/>
                <w:b w:val="0"/>
                <w:bCs/>
                <w:sz w:val="21"/>
                <w:szCs w:val="21"/>
              </w:rPr>
            </w:pPr>
          </w:p>
        </w:tc>
        <w:tc>
          <w:tcPr>
            <w:tcW w:w="568" w:type="pct"/>
            <w:gridSpan w:val="2"/>
            <w:vMerge w:val="continue"/>
            <w:noWrap w:val="0"/>
            <w:vAlign w:val="center"/>
          </w:tcPr>
          <w:p w14:paraId="2BB928DD">
            <w:pPr>
              <w:keepNext w:val="0"/>
              <w:keepLines w:val="0"/>
              <w:suppressLineNumbers w:val="0"/>
              <w:spacing w:before="0" w:beforeAutospacing="0" w:after="0" w:afterAutospacing="0"/>
              <w:ind w:left="0" w:right="0"/>
              <w:jc w:val="center"/>
              <w:rPr>
                <w:rFonts w:hint="eastAsia" w:ascii="黑体" w:hAnsi="黑体" w:eastAsia="黑体" w:cs="黑体"/>
                <w:b w:val="0"/>
                <w:bCs/>
                <w:sz w:val="21"/>
                <w:szCs w:val="21"/>
              </w:rPr>
            </w:pPr>
          </w:p>
        </w:tc>
        <w:tc>
          <w:tcPr>
            <w:tcW w:w="1437" w:type="pct"/>
            <w:gridSpan w:val="5"/>
            <w:vMerge w:val="continue"/>
            <w:noWrap w:val="0"/>
            <w:vAlign w:val="center"/>
          </w:tcPr>
          <w:p w14:paraId="4F6DAC6C">
            <w:pPr>
              <w:keepNext w:val="0"/>
              <w:keepLines w:val="0"/>
              <w:suppressLineNumbers w:val="0"/>
              <w:spacing w:before="0" w:beforeAutospacing="0" w:after="0" w:afterAutospacing="0"/>
              <w:ind w:left="0" w:right="0"/>
              <w:jc w:val="center"/>
              <w:rPr>
                <w:rFonts w:hint="eastAsia" w:ascii="黑体" w:hAnsi="黑体" w:eastAsia="黑体" w:cs="黑体"/>
                <w:b w:val="0"/>
                <w:bCs/>
                <w:sz w:val="21"/>
                <w:szCs w:val="21"/>
              </w:rPr>
            </w:pPr>
          </w:p>
        </w:tc>
        <w:tc>
          <w:tcPr>
            <w:tcW w:w="954" w:type="pct"/>
            <w:gridSpan w:val="3"/>
            <w:noWrap w:val="0"/>
            <w:vAlign w:val="center"/>
          </w:tcPr>
          <w:p w14:paraId="6C8E70D9">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地质灾害隐患点总数</w:t>
            </w:r>
          </w:p>
        </w:tc>
        <w:tc>
          <w:tcPr>
            <w:tcW w:w="1063" w:type="pct"/>
            <w:gridSpan w:val="3"/>
            <w:noWrap w:val="0"/>
            <w:vAlign w:val="center"/>
          </w:tcPr>
          <w:p w14:paraId="37558760">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其中威胁100人以上地质灾害</w:t>
            </w:r>
          </w:p>
          <w:p w14:paraId="330C1031">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隐患点情况</w:t>
            </w:r>
          </w:p>
        </w:tc>
        <w:tc>
          <w:tcPr>
            <w:tcW w:w="372" w:type="pct"/>
            <w:vMerge w:val="continue"/>
            <w:noWrap w:val="0"/>
            <w:vAlign w:val="center"/>
          </w:tcPr>
          <w:p w14:paraId="248DEA1C">
            <w:pPr>
              <w:keepNext w:val="0"/>
              <w:keepLines w:val="0"/>
              <w:widowControl/>
              <w:suppressLineNumbers w:val="0"/>
              <w:spacing w:before="0" w:beforeAutospacing="0" w:after="0" w:afterAutospacing="0"/>
              <w:ind w:left="0" w:right="0"/>
              <w:jc w:val="center"/>
              <w:rPr>
                <w:rFonts w:hint="eastAsia" w:ascii="黑体" w:hAnsi="黑体" w:eastAsia="黑体" w:cs="黑体"/>
                <w:b w:val="0"/>
                <w:bCs/>
                <w:sz w:val="21"/>
                <w:szCs w:val="21"/>
              </w:rPr>
            </w:pPr>
          </w:p>
        </w:tc>
      </w:tr>
      <w:tr w14:paraId="4778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29" w:type="pct"/>
            <w:vMerge w:val="continue"/>
            <w:noWrap w:val="0"/>
            <w:vAlign w:val="top"/>
          </w:tcPr>
          <w:p w14:paraId="426DE170">
            <w:pPr>
              <w:keepNext w:val="0"/>
              <w:keepLines w:val="0"/>
              <w:suppressLineNumbers w:val="0"/>
              <w:spacing w:before="0" w:beforeAutospacing="0" w:after="0" w:afterAutospacing="0"/>
              <w:ind w:left="0" w:right="0"/>
              <w:jc w:val="center"/>
              <w:rPr>
                <w:rFonts w:hint="eastAsia" w:ascii="黑体" w:hAnsi="黑体" w:eastAsia="黑体" w:cs="黑体"/>
                <w:b w:val="0"/>
                <w:bCs/>
                <w:sz w:val="21"/>
                <w:szCs w:val="21"/>
              </w:rPr>
            </w:pPr>
          </w:p>
        </w:tc>
        <w:tc>
          <w:tcPr>
            <w:tcW w:w="374" w:type="pct"/>
            <w:vMerge w:val="continue"/>
            <w:noWrap w:val="0"/>
            <w:vAlign w:val="top"/>
          </w:tcPr>
          <w:p w14:paraId="7B79B56E">
            <w:pPr>
              <w:keepNext w:val="0"/>
              <w:keepLines w:val="0"/>
              <w:suppressLineNumbers w:val="0"/>
              <w:spacing w:before="0" w:beforeAutospacing="0" w:after="0" w:afterAutospacing="0"/>
              <w:ind w:left="0" w:right="0"/>
              <w:jc w:val="center"/>
              <w:rPr>
                <w:rFonts w:hint="eastAsia" w:ascii="黑体" w:hAnsi="黑体" w:eastAsia="黑体" w:cs="黑体"/>
                <w:b w:val="0"/>
                <w:bCs/>
                <w:sz w:val="21"/>
                <w:szCs w:val="21"/>
              </w:rPr>
            </w:pPr>
          </w:p>
        </w:tc>
        <w:tc>
          <w:tcPr>
            <w:tcW w:w="243" w:type="pct"/>
            <w:noWrap w:val="0"/>
            <w:vAlign w:val="center"/>
          </w:tcPr>
          <w:p w14:paraId="67A128F2">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总数</w:t>
            </w:r>
          </w:p>
        </w:tc>
        <w:tc>
          <w:tcPr>
            <w:tcW w:w="325" w:type="pct"/>
            <w:noWrap w:val="0"/>
            <w:vAlign w:val="center"/>
          </w:tcPr>
          <w:p w14:paraId="0634B9F6">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威胁100人以上</w:t>
            </w:r>
          </w:p>
        </w:tc>
        <w:tc>
          <w:tcPr>
            <w:tcW w:w="250" w:type="pct"/>
            <w:noWrap w:val="0"/>
            <w:vAlign w:val="center"/>
          </w:tcPr>
          <w:p w14:paraId="46DE29E0">
            <w:pPr>
              <w:keepNext w:val="0"/>
              <w:keepLines w:val="0"/>
              <w:suppressLineNumbers w:val="0"/>
              <w:spacing w:before="0" w:beforeAutospacing="0" w:after="0" w:afterAutospacing="0" w:line="360" w:lineRule="exact"/>
              <w:ind w:left="0" w:leftChars="0" w:right="0" w:rightChars="0"/>
              <w:jc w:val="center"/>
              <w:rPr>
                <w:rFonts w:hint="eastAsia" w:ascii="黑体" w:hAnsi="黑体" w:eastAsia="黑体" w:cs="黑体"/>
                <w:b w:val="0"/>
                <w:bCs/>
                <w:sz w:val="21"/>
                <w:szCs w:val="21"/>
              </w:rPr>
            </w:pPr>
            <w:r>
              <w:rPr>
                <w:rFonts w:hint="eastAsia" w:ascii="黑体" w:hAnsi="黑体" w:eastAsia="黑体" w:cs="黑体"/>
                <w:b w:val="0"/>
                <w:bCs/>
                <w:sz w:val="21"/>
                <w:szCs w:val="21"/>
              </w:rPr>
              <w:t>新增隐患点</w:t>
            </w:r>
          </w:p>
        </w:tc>
        <w:tc>
          <w:tcPr>
            <w:tcW w:w="237" w:type="pct"/>
            <w:noWrap w:val="0"/>
            <w:vAlign w:val="center"/>
          </w:tcPr>
          <w:p w14:paraId="26286213">
            <w:pPr>
              <w:keepNext w:val="0"/>
              <w:keepLines w:val="0"/>
              <w:suppressLineNumbers w:val="0"/>
              <w:spacing w:before="0" w:beforeAutospacing="0" w:after="0" w:afterAutospacing="0" w:line="360" w:lineRule="exact"/>
              <w:ind w:left="0" w:leftChars="0" w:right="0" w:rightChars="0"/>
              <w:jc w:val="center"/>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核销点数</w:t>
            </w:r>
          </w:p>
        </w:tc>
        <w:tc>
          <w:tcPr>
            <w:tcW w:w="268" w:type="pct"/>
            <w:noWrap w:val="0"/>
            <w:vAlign w:val="center"/>
          </w:tcPr>
          <w:p w14:paraId="13AFF0D3">
            <w:pPr>
              <w:keepNext w:val="0"/>
              <w:keepLines w:val="0"/>
              <w:suppressLineNumbers w:val="0"/>
              <w:spacing w:before="0" w:beforeAutospacing="0" w:after="0" w:afterAutospacing="0" w:line="360" w:lineRule="exact"/>
              <w:ind w:left="0" w:leftChars="0" w:right="0" w:rightChars="0"/>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rPr>
              <w:t>总数</w:t>
            </w:r>
          </w:p>
        </w:tc>
        <w:tc>
          <w:tcPr>
            <w:tcW w:w="287" w:type="pct"/>
            <w:noWrap w:val="0"/>
            <w:vAlign w:val="center"/>
          </w:tcPr>
          <w:p w14:paraId="3E6979A8">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sz w:val="21"/>
                <w:szCs w:val="21"/>
              </w:rPr>
              <w:t>威胁人数（人）</w:t>
            </w:r>
          </w:p>
        </w:tc>
        <w:tc>
          <w:tcPr>
            <w:tcW w:w="394" w:type="pct"/>
            <w:noWrap w:val="0"/>
            <w:vAlign w:val="center"/>
          </w:tcPr>
          <w:p w14:paraId="16920D75">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潜在经济损失</w:t>
            </w:r>
          </w:p>
          <w:p w14:paraId="1309E946">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kern w:val="2"/>
                <w:sz w:val="21"/>
                <w:szCs w:val="21"/>
                <w:lang w:val="en-US" w:eastAsia="zh-CN" w:bidi="ar-SA"/>
              </w:rPr>
            </w:pPr>
            <w:r>
              <w:rPr>
                <w:rFonts w:hint="eastAsia" w:ascii="黑体" w:hAnsi="黑体" w:eastAsia="黑体" w:cs="黑体"/>
                <w:b w:val="0"/>
                <w:bCs/>
                <w:sz w:val="21"/>
                <w:szCs w:val="21"/>
              </w:rPr>
              <w:t>（万元）</w:t>
            </w:r>
          </w:p>
        </w:tc>
        <w:tc>
          <w:tcPr>
            <w:tcW w:w="250" w:type="pct"/>
            <w:noWrap w:val="0"/>
            <w:vAlign w:val="center"/>
          </w:tcPr>
          <w:p w14:paraId="54071818">
            <w:pPr>
              <w:keepNext w:val="0"/>
              <w:keepLines w:val="0"/>
              <w:suppressLineNumbers w:val="0"/>
              <w:spacing w:before="0" w:beforeAutospacing="0" w:after="0" w:afterAutospacing="0" w:line="360" w:lineRule="exact"/>
              <w:ind w:left="0" w:leftChars="0" w:right="0" w:rightChars="0"/>
              <w:jc w:val="center"/>
              <w:rPr>
                <w:rFonts w:hint="eastAsia" w:ascii="黑体" w:hAnsi="黑体" w:eastAsia="黑体" w:cs="黑体"/>
                <w:b w:val="0"/>
                <w:bCs/>
                <w:sz w:val="21"/>
                <w:szCs w:val="21"/>
                <w:lang w:eastAsia="zh-CN"/>
              </w:rPr>
            </w:pPr>
            <w:r>
              <w:rPr>
                <w:rFonts w:hint="eastAsia" w:ascii="黑体" w:hAnsi="黑体" w:eastAsia="黑体" w:cs="黑体"/>
                <w:b w:val="0"/>
                <w:bCs/>
                <w:sz w:val="21"/>
                <w:szCs w:val="21"/>
              </w:rPr>
              <w:t>总数</w:t>
            </w:r>
          </w:p>
        </w:tc>
        <w:tc>
          <w:tcPr>
            <w:tcW w:w="299" w:type="pct"/>
            <w:noWrap w:val="0"/>
            <w:vAlign w:val="center"/>
          </w:tcPr>
          <w:p w14:paraId="7A7BBCD9">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威胁人数（人）</w:t>
            </w:r>
          </w:p>
        </w:tc>
        <w:tc>
          <w:tcPr>
            <w:tcW w:w="405" w:type="pct"/>
            <w:noWrap w:val="0"/>
            <w:vAlign w:val="center"/>
          </w:tcPr>
          <w:p w14:paraId="0B9166F5">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潜在经济损失</w:t>
            </w:r>
          </w:p>
          <w:p w14:paraId="2A83360A">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（万元）</w:t>
            </w:r>
          </w:p>
        </w:tc>
        <w:tc>
          <w:tcPr>
            <w:tcW w:w="276" w:type="pct"/>
            <w:noWrap w:val="0"/>
            <w:vAlign w:val="center"/>
          </w:tcPr>
          <w:p w14:paraId="615224E2">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总数</w:t>
            </w:r>
          </w:p>
        </w:tc>
        <w:tc>
          <w:tcPr>
            <w:tcW w:w="336" w:type="pct"/>
            <w:noWrap w:val="0"/>
            <w:vAlign w:val="center"/>
          </w:tcPr>
          <w:p w14:paraId="219BF697">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威胁人数（人）</w:t>
            </w:r>
          </w:p>
        </w:tc>
        <w:tc>
          <w:tcPr>
            <w:tcW w:w="450" w:type="pct"/>
            <w:noWrap w:val="0"/>
            <w:vAlign w:val="center"/>
          </w:tcPr>
          <w:p w14:paraId="5C1EAB81">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潜在经济</w:t>
            </w:r>
          </w:p>
          <w:p w14:paraId="2FA16ACF">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损失</w:t>
            </w:r>
          </w:p>
          <w:p w14:paraId="2CC1DF99">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1"/>
                <w:szCs w:val="21"/>
              </w:rPr>
            </w:pPr>
            <w:r>
              <w:rPr>
                <w:rFonts w:hint="eastAsia" w:ascii="黑体" w:hAnsi="黑体" w:eastAsia="黑体" w:cs="黑体"/>
                <w:b w:val="0"/>
                <w:bCs/>
                <w:sz w:val="21"/>
                <w:szCs w:val="21"/>
              </w:rPr>
              <w:t>（万元）</w:t>
            </w:r>
          </w:p>
        </w:tc>
        <w:tc>
          <w:tcPr>
            <w:tcW w:w="372" w:type="pct"/>
            <w:vMerge w:val="continue"/>
            <w:noWrap w:val="0"/>
            <w:vAlign w:val="top"/>
          </w:tcPr>
          <w:p w14:paraId="15C8B637">
            <w:pPr>
              <w:keepNext w:val="0"/>
              <w:keepLines w:val="0"/>
              <w:widowControl/>
              <w:suppressLineNumbers w:val="0"/>
              <w:spacing w:before="0" w:beforeAutospacing="0" w:after="0" w:afterAutospacing="0"/>
              <w:ind w:left="0" w:right="0"/>
              <w:jc w:val="center"/>
              <w:rPr>
                <w:rFonts w:hint="eastAsia" w:ascii="黑体" w:hAnsi="黑体" w:eastAsia="黑体" w:cs="黑体"/>
                <w:b w:val="0"/>
                <w:bCs/>
                <w:sz w:val="21"/>
                <w:szCs w:val="21"/>
              </w:rPr>
            </w:pPr>
          </w:p>
        </w:tc>
      </w:tr>
      <w:tr w14:paraId="7D50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3" w:type="pct"/>
            <w:gridSpan w:val="2"/>
            <w:noWrap w:val="0"/>
            <w:vAlign w:val="center"/>
          </w:tcPr>
          <w:p w14:paraId="0F58557E">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全市合计</w:t>
            </w:r>
          </w:p>
        </w:tc>
        <w:tc>
          <w:tcPr>
            <w:tcW w:w="243" w:type="pct"/>
            <w:noWrap w:val="0"/>
            <w:vAlign w:val="center"/>
          </w:tcPr>
          <w:p w14:paraId="10A36AFB">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5</w:t>
            </w:r>
            <w:r>
              <w:rPr>
                <w:rFonts w:hint="eastAsia" w:ascii="仿宋_GB2312" w:hAnsi="仿宋_GB2312" w:cs="仿宋_GB2312"/>
                <w:b w:val="0"/>
                <w:bCs/>
                <w:color w:val="auto"/>
                <w:sz w:val="21"/>
                <w:szCs w:val="21"/>
                <w:lang w:val="en-US" w:eastAsia="zh-CN"/>
              </w:rPr>
              <w:t xml:space="preserve">82                                                     </w:t>
            </w:r>
          </w:p>
        </w:tc>
        <w:tc>
          <w:tcPr>
            <w:tcW w:w="325" w:type="pct"/>
            <w:noWrap w:val="0"/>
            <w:vAlign w:val="center"/>
          </w:tcPr>
          <w:p w14:paraId="438FC8F6">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155</w:t>
            </w:r>
          </w:p>
        </w:tc>
        <w:tc>
          <w:tcPr>
            <w:tcW w:w="250" w:type="pct"/>
            <w:noWrap w:val="0"/>
            <w:vAlign w:val="center"/>
          </w:tcPr>
          <w:p w14:paraId="3010E471">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6</w:t>
            </w:r>
          </w:p>
        </w:tc>
        <w:tc>
          <w:tcPr>
            <w:tcW w:w="237" w:type="pct"/>
            <w:noWrap w:val="0"/>
            <w:vAlign w:val="center"/>
          </w:tcPr>
          <w:p w14:paraId="6ACD7249">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13</w:t>
            </w:r>
          </w:p>
        </w:tc>
        <w:tc>
          <w:tcPr>
            <w:tcW w:w="268" w:type="pct"/>
            <w:noWrap w:val="0"/>
            <w:vAlign w:val="center"/>
          </w:tcPr>
          <w:p w14:paraId="336162DD">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575</w:t>
            </w:r>
          </w:p>
        </w:tc>
        <w:tc>
          <w:tcPr>
            <w:tcW w:w="287" w:type="pct"/>
            <w:noWrap w:val="0"/>
            <w:vAlign w:val="center"/>
          </w:tcPr>
          <w:p w14:paraId="3566D7FA">
            <w:pPr>
              <w:keepNext w:val="0"/>
              <w:keepLines w:val="0"/>
              <w:suppressLineNumbers w:val="0"/>
              <w:spacing w:before="0" w:beforeAutospacing="0" w:after="0" w:afterAutospacing="0"/>
              <w:ind w:left="0" w:leftChars="0" w:right="0" w:rightChars="0"/>
              <w:jc w:val="center"/>
              <w:rPr>
                <w:rFonts w:hint="default" w:ascii="仿宋_GB2312" w:hAnsi="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58232</w:t>
            </w:r>
          </w:p>
        </w:tc>
        <w:tc>
          <w:tcPr>
            <w:tcW w:w="394" w:type="pct"/>
            <w:noWrap w:val="0"/>
            <w:vAlign w:val="center"/>
          </w:tcPr>
          <w:p w14:paraId="5E7A2186">
            <w:pPr>
              <w:keepNext w:val="0"/>
              <w:keepLines w:val="0"/>
              <w:suppressLineNumbers w:val="0"/>
              <w:spacing w:before="0" w:beforeAutospacing="0" w:after="0" w:afterAutospacing="0"/>
              <w:ind w:left="0" w:leftChars="0" w:right="0" w:rightChars="0"/>
              <w:jc w:val="center"/>
              <w:rPr>
                <w:rFonts w:hint="default" w:ascii="仿宋_GB2312" w:hAnsi="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197160</w:t>
            </w:r>
          </w:p>
        </w:tc>
        <w:tc>
          <w:tcPr>
            <w:tcW w:w="250" w:type="pct"/>
            <w:noWrap w:val="0"/>
            <w:vAlign w:val="center"/>
          </w:tcPr>
          <w:p w14:paraId="01EB8432">
            <w:pPr>
              <w:keepNext w:val="0"/>
              <w:keepLines w:val="0"/>
              <w:suppressLineNumbers w:val="0"/>
              <w:spacing w:before="0" w:beforeAutospacing="0" w:after="0" w:afterAutospacing="0"/>
              <w:ind w:left="0" w:leftChars="0" w:right="0" w:rightChars="0"/>
              <w:jc w:val="center"/>
              <w:rPr>
                <w:rFonts w:hint="default" w:ascii="仿宋_GB2312" w:hAnsi="仿宋_GB2312" w:cs="仿宋_GB2312"/>
                <w:b w:val="0"/>
                <w:bCs/>
                <w:color w:val="auto"/>
                <w:sz w:val="21"/>
                <w:szCs w:val="21"/>
                <w:lang w:val="en-US" w:eastAsia="zh-CN"/>
              </w:rPr>
            </w:pPr>
            <w:r>
              <w:rPr>
                <w:rFonts w:hint="default" w:ascii="仿宋_GB2312" w:hAnsi="仿宋_GB2312" w:cs="仿宋_GB2312"/>
                <w:b w:val="0"/>
                <w:bCs/>
                <w:color w:val="auto"/>
                <w:sz w:val="21"/>
                <w:szCs w:val="21"/>
              </w:rPr>
              <w:t>57</w:t>
            </w:r>
            <w:r>
              <w:rPr>
                <w:rFonts w:hint="eastAsia" w:ascii="仿宋_GB2312" w:hAnsi="仿宋_GB2312" w:cs="仿宋_GB2312"/>
                <w:b w:val="0"/>
                <w:bCs/>
                <w:color w:val="auto"/>
                <w:sz w:val="21"/>
                <w:szCs w:val="21"/>
                <w:lang w:val="en-US" w:eastAsia="zh-CN"/>
              </w:rPr>
              <w:t>5</w:t>
            </w:r>
          </w:p>
        </w:tc>
        <w:tc>
          <w:tcPr>
            <w:tcW w:w="299" w:type="pct"/>
            <w:noWrap w:val="0"/>
            <w:vAlign w:val="center"/>
          </w:tcPr>
          <w:p w14:paraId="00578BFB">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58232</w:t>
            </w:r>
          </w:p>
        </w:tc>
        <w:tc>
          <w:tcPr>
            <w:tcW w:w="405" w:type="pct"/>
            <w:noWrap w:val="0"/>
            <w:vAlign w:val="center"/>
          </w:tcPr>
          <w:p w14:paraId="2FCC7943">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197160</w:t>
            </w:r>
          </w:p>
        </w:tc>
        <w:tc>
          <w:tcPr>
            <w:tcW w:w="276" w:type="pct"/>
            <w:noWrap w:val="0"/>
            <w:vAlign w:val="center"/>
          </w:tcPr>
          <w:p w14:paraId="7DDC8838">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1</w:t>
            </w:r>
            <w:r>
              <w:rPr>
                <w:rFonts w:hint="eastAsia" w:ascii="仿宋_GB2312" w:hAnsi="仿宋_GB2312" w:cs="仿宋_GB2312"/>
                <w:b w:val="0"/>
                <w:bCs/>
                <w:color w:val="auto"/>
                <w:sz w:val="21"/>
                <w:szCs w:val="21"/>
                <w:lang w:val="en-US" w:eastAsia="zh-CN"/>
              </w:rPr>
              <w:t>49</w:t>
            </w:r>
          </w:p>
        </w:tc>
        <w:tc>
          <w:tcPr>
            <w:tcW w:w="336" w:type="pct"/>
            <w:noWrap w:val="0"/>
            <w:vAlign w:val="center"/>
          </w:tcPr>
          <w:p w14:paraId="68CB3819">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4</w:t>
            </w:r>
            <w:r>
              <w:rPr>
                <w:rFonts w:hint="eastAsia" w:ascii="仿宋_GB2312" w:hAnsi="仿宋_GB2312" w:cs="仿宋_GB2312"/>
                <w:b w:val="0"/>
                <w:bCs/>
                <w:color w:val="auto"/>
                <w:sz w:val="21"/>
                <w:szCs w:val="21"/>
                <w:lang w:val="en-US" w:eastAsia="zh-CN"/>
              </w:rPr>
              <w:t>8817</w:t>
            </w:r>
          </w:p>
        </w:tc>
        <w:tc>
          <w:tcPr>
            <w:tcW w:w="450" w:type="pct"/>
            <w:noWrap w:val="0"/>
            <w:vAlign w:val="center"/>
          </w:tcPr>
          <w:p w14:paraId="5E819A5A">
            <w:pPr>
              <w:keepNext w:val="0"/>
              <w:keepLines w:val="0"/>
              <w:suppressLineNumbers w:val="0"/>
              <w:spacing w:before="0" w:beforeAutospacing="0" w:after="0" w:afterAutospacing="0"/>
              <w:ind w:left="0" w:right="236"/>
              <w:jc w:val="right"/>
              <w:rPr>
                <w:rFonts w:hint="default"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1</w:t>
            </w:r>
            <w:r>
              <w:rPr>
                <w:rFonts w:hint="eastAsia" w:ascii="仿宋_GB2312" w:hAnsi="仿宋_GB2312" w:cs="仿宋_GB2312"/>
                <w:b w:val="0"/>
                <w:bCs/>
                <w:color w:val="auto"/>
                <w:sz w:val="21"/>
                <w:szCs w:val="21"/>
                <w:lang w:val="en-US" w:eastAsia="zh-CN"/>
              </w:rPr>
              <w:t>57729</w:t>
            </w:r>
          </w:p>
        </w:tc>
        <w:tc>
          <w:tcPr>
            <w:tcW w:w="372" w:type="pct"/>
            <w:vMerge w:val="restart"/>
            <w:noWrap w:val="0"/>
            <w:vAlign w:val="center"/>
          </w:tcPr>
          <w:p w14:paraId="4AA152E2">
            <w:pPr>
              <w:keepNext w:val="0"/>
              <w:keepLines w:val="0"/>
              <w:suppressLineNumbers w:val="0"/>
              <w:spacing w:before="0" w:beforeAutospacing="0" w:after="0" w:afterAutospacing="0" w:line="360" w:lineRule="exact"/>
              <w:ind w:left="0" w:right="0"/>
              <w:jc w:val="both"/>
              <w:rPr>
                <w:rFonts w:hint="eastAsia" w:ascii="仿宋_GB2312" w:hAnsi="仿宋_GB2312" w:cs="仿宋_GB2312"/>
                <w:b w:val="0"/>
                <w:bCs/>
                <w:sz w:val="21"/>
                <w:szCs w:val="21"/>
              </w:rPr>
            </w:pPr>
            <w:r>
              <w:rPr>
                <w:rFonts w:hint="eastAsia" w:ascii="仿宋" w:hAnsi="仿宋" w:eastAsia="仿宋" w:cs="黑体"/>
                <w:b w:val="0"/>
                <w:bCs/>
                <w:sz w:val="21"/>
                <w:szCs w:val="21"/>
              </w:rPr>
              <w:t>地灾点虽已完成治理但核销</w:t>
            </w:r>
            <w:r>
              <w:rPr>
                <w:rFonts w:hint="default" w:ascii="仿宋" w:hAnsi="仿宋" w:eastAsia="仿宋" w:cs="黑体"/>
                <w:b w:val="0"/>
                <w:bCs/>
                <w:sz w:val="21"/>
                <w:szCs w:val="21"/>
              </w:rPr>
              <w:t>需要初验终验等多个程序</w:t>
            </w:r>
            <w:r>
              <w:rPr>
                <w:rFonts w:hint="eastAsia" w:ascii="仿宋" w:hAnsi="仿宋" w:eastAsia="仿宋" w:cs="黑体"/>
                <w:b w:val="0"/>
                <w:bCs/>
                <w:sz w:val="21"/>
                <w:szCs w:val="21"/>
              </w:rPr>
              <w:t>，</w:t>
            </w:r>
            <w:r>
              <w:rPr>
                <w:rFonts w:hint="default" w:ascii="仿宋" w:hAnsi="仿宋" w:eastAsia="仿宋" w:cs="黑体"/>
                <w:b w:val="0"/>
                <w:bCs/>
                <w:sz w:val="21"/>
                <w:szCs w:val="21"/>
              </w:rPr>
              <w:t>导致隐患点数没有明显减少</w:t>
            </w:r>
          </w:p>
        </w:tc>
      </w:tr>
      <w:tr w14:paraId="17AC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9" w:type="pct"/>
            <w:noWrap w:val="0"/>
            <w:vAlign w:val="center"/>
          </w:tcPr>
          <w:p w14:paraId="337E99BE">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1</w:t>
            </w:r>
          </w:p>
        </w:tc>
        <w:tc>
          <w:tcPr>
            <w:tcW w:w="374" w:type="pct"/>
            <w:noWrap w:val="0"/>
            <w:vAlign w:val="center"/>
          </w:tcPr>
          <w:p w14:paraId="61ECF840">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连平</w:t>
            </w:r>
          </w:p>
        </w:tc>
        <w:tc>
          <w:tcPr>
            <w:tcW w:w="243" w:type="pct"/>
            <w:noWrap w:val="0"/>
            <w:vAlign w:val="center"/>
          </w:tcPr>
          <w:p w14:paraId="6ABDA3EF">
            <w:pPr>
              <w:keepNext w:val="0"/>
              <w:keepLines w:val="0"/>
              <w:suppressLineNumbers w:val="0"/>
              <w:spacing w:before="0" w:beforeAutospacing="0" w:after="0" w:afterAutospacing="0"/>
              <w:ind w:left="0" w:leftChars="0" w:right="0" w:rightChars="0"/>
              <w:jc w:val="center"/>
              <w:rPr>
                <w:rFonts w:hint="eastAsia" w:ascii="仿宋_GB2312" w:hAnsi="仿宋_GB2312" w:cs="仿宋_GB2312"/>
                <w:b w:val="0"/>
                <w:bCs/>
                <w:color w:val="auto"/>
                <w:sz w:val="21"/>
                <w:szCs w:val="21"/>
              </w:rPr>
            </w:pPr>
            <w:r>
              <w:rPr>
                <w:rFonts w:hint="default" w:ascii="仿宋_GB2312" w:hAnsi="仿宋_GB2312" w:cs="仿宋_GB2312"/>
                <w:b w:val="0"/>
                <w:bCs/>
                <w:color w:val="auto"/>
                <w:sz w:val="21"/>
                <w:szCs w:val="21"/>
              </w:rPr>
              <w:t>131</w:t>
            </w:r>
          </w:p>
        </w:tc>
        <w:tc>
          <w:tcPr>
            <w:tcW w:w="325" w:type="pct"/>
            <w:noWrap w:val="0"/>
            <w:vAlign w:val="center"/>
          </w:tcPr>
          <w:p w14:paraId="5FA15BF6">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17</w:t>
            </w:r>
          </w:p>
        </w:tc>
        <w:tc>
          <w:tcPr>
            <w:tcW w:w="250" w:type="pct"/>
            <w:noWrap w:val="0"/>
            <w:vAlign w:val="center"/>
          </w:tcPr>
          <w:p w14:paraId="2FC3CC35">
            <w:pPr>
              <w:keepNext w:val="0"/>
              <w:keepLines w:val="0"/>
              <w:suppressLineNumbers w:val="0"/>
              <w:spacing w:before="0" w:beforeAutospacing="0" w:after="0" w:afterAutospacing="0"/>
              <w:ind w:left="0" w:leftChars="0" w:right="0" w:rightChars="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0</w:t>
            </w:r>
          </w:p>
        </w:tc>
        <w:tc>
          <w:tcPr>
            <w:tcW w:w="237" w:type="pct"/>
            <w:noWrap w:val="0"/>
            <w:vAlign w:val="center"/>
          </w:tcPr>
          <w:p w14:paraId="555D23F1">
            <w:pPr>
              <w:keepNext w:val="0"/>
              <w:keepLines w:val="0"/>
              <w:suppressLineNumbers w:val="0"/>
              <w:spacing w:before="0" w:beforeAutospacing="0" w:after="0" w:afterAutospacing="0"/>
              <w:ind w:left="0" w:leftChars="0" w:right="0" w:rightChars="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lang w:val="en-US" w:eastAsia="zh-CN"/>
              </w:rPr>
              <w:t>3</w:t>
            </w:r>
          </w:p>
        </w:tc>
        <w:tc>
          <w:tcPr>
            <w:tcW w:w="268" w:type="pct"/>
            <w:noWrap w:val="0"/>
            <w:vAlign w:val="center"/>
          </w:tcPr>
          <w:p w14:paraId="133F4D13">
            <w:pPr>
              <w:keepNext w:val="0"/>
              <w:keepLines w:val="0"/>
              <w:suppressLineNumbers w:val="0"/>
              <w:spacing w:before="0" w:beforeAutospacing="0" w:after="0" w:afterAutospacing="0"/>
              <w:ind w:left="0" w:leftChars="0" w:right="0" w:rightChars="0"/>
              <w:jc w:val="center"/>
              <w:rPr>
                <w:rFonts w:hint="default" w:ascii="仿宋_GB2312" w:hAnsi="仿宋_GB2312" w:cs="仿宋_GB2312"/>
                <w:b w:val="0"/>
                <w:bCs/>
                <w:color w:val="auto"/>
                <w:sz w:val="21"/>
                <w:szCs w:val="21"/>
                <w:lang w:val="en-US" w:eastAsia="zh-CN"/>
              </w:rPr>
            </w:pPr>
            <w:r>
              <w:rPr>
                <w:rFonts w:hint="default" w:ascii="仿宋_GB2312" w:hAnsi="仿宋_GB2312" w:cs="仿宋_GB2312"/>
                <w:b w:val="0"/>
                <w:bCs/>
                <w:color w:val="auto"/>
                <w:sz w:val="21"/>
                <w:szCs w:val="21"/>
              </w:rPr>
              <w:t>1</w:t>
            </w:r>
            <w:r>
              <w:rPr>
                <w:rFonts w:hint="eastAsia" w:ascii="仿宋_GB2312" w:hAnsi="仿宋_GB2312" w:cs="仿宋_GB2312"/>
                <w:b w:val="0"/>
                <w:bCs/>
                <w:color w:val="auto"/>
                <w:sz w:val="21"/>
                <w:szCs w:val="21"/>
                <w:lang w:val="en-US" w:eastAsia="zh-CN"/>
              </w:rPr>
              <w:t>28</w:t>
            </w:r>
          </w:p>
        </w:tc>
        <w:tc>
          <w:tcPr>
            <w:tcW w:w="287" w:type="pct"/>
            <w:noWrap w:val="0"/>
            <w:vAlign w:val="center"/>
          </w:tcPr>
          <w:p w14:paraId="6363E793">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5626</w:t>
            </w:r>
          </w:p>
        </w:tc>
        <w:tc>
          <w:tcPr>
            <w:tcW w:w="394" w:type="pct"/>
            <w:noWrap w:val="0"/>
            <w:vAlign w:val="center"/>
          </w:tcPr>
          <w:p w14:paraId="5889FAF1">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19381</w:t>
            </w:r>
          </w:p>
        </w:tc>
        <w:tc>
          <w:tcPr>
            <w:tcW w:w="250" w:type="pct"/>
            <w:noWrap w:val="0"/>
            <w:vAlign w:val="center"/>
          </w:tcPr>
          <w:p w14:paraId="61546299">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1</w:t>
            </w:r>
            <w:r>
              <w:rPr>
                <w:rFonts w:hint="eastAsia" w:ascii="仿宋_GB2312" w:hAnsi="仿宋_GB2312" w:cs="仿宋_GB2312"/>
                <w:b w:val="0"/>
                <w:bCs/>
                <w:color w:val="auto"/>
                <w:sz w:val="21"/>
                <w:szCs w:val="21"/>
                <w:lang w:val="en-US" w:eastAsia="zh-CN"/>
              </w:rPr>
              <w:t>28</w:t>
            </w:r>
          </w:p>
        </w:tc>
        <w:tc>
          <w:tcPr>
            <w:tcW w:w="299" w:type="pct"/>
            <w:noWrap w:val="0"/>
            <w:vAlign w:val="center"/>
          </w:tcPr>
          <w:p w14:paraId="0C3E1FD6">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5626</w:t>
            </w:r>
          </w:p>
        </w:tc>
        <w:tc>
          <w:tcPr>
            <w:tcW w:w="405" w:type="pct"/>
            <w:noWrap w:val="0"/>
            <w:vAlign w:val="center"/>
          </w:tcPr>
          <w:p w14:paraId="727DF1B5">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19381</w:t>
            </w:r>
          </w:p>
        </w:tc>
        <w:tc>
          <w:tcPr>
            <w:tcW w:w="276" w:type="pct"/>
            <w:noWrap w:val="0"/>
            <w:vAlign w:val="center"/>
          </w:tcPr>
          <w:p w14:paraId="77FECE6E">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color w:val="auto"/>
                <w:sz w:val="21"/>
                <w:szCs w:val="21"/>
                <w:lang w:eastAsia="zh-CN"/>
              </w:rPr>
            </w:pPr>
            <w:r>
              <w:rPr>
                <w:rFonts w:hint="default" w:ascii="仿宋_GB2312" w:hAnsi="仿宋_GB2312" w:cs="仿宋_GB2312"/>
                <w:b w:val="0"/>
                <w:bCs/>
                <w:color w:val="auto"/>
                <w:sz w:val="21"/>
                <w:szCs w:val="21"/>
              </w:rPr>
              <w:t>1</w:t>
            </w:r>
            <w:r>
              <w:rPr>
                <w:rFonts w:hint="eastAsia" w:ascii="仿宋_GB2312" w:hAnsi="仿宋_GB2312" w:cs="仿宋_GB2312"/>
                <w:b w:val="0"/>
                <w:bCs/>
                <w:color w:val="auto"/>
                <w:sz w:val="21"/>
                <w:szCs w:val="21"/>
                <w:lang w:val="en-US" w:eastAsia="zh-CN"/>
              </w:rPr>
              <w:t>4</w:t>
            </w:r>
          </w:p>
        </w:tc>
        <w:tc>
          <w:tcPr>
            <w:tcW w:w="336" w:type="pct"/>
            <w:noWrap w:val="0"/>
            <w:vAlign w:val="center"/>
          </w:tcPr>
          <w:p w14:paraId="2A37A349">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3385</w:t>
            </w:r>
          </w:p>
        </w:tc>
        <w:tc>
          <w:tcPr>
            <w:tcW w:w="450" w:type="pct"/>
            <w:noWrap w:val="0"/>
            <w:vAlign w:val="center"/>
          </w:tcPr>
          <w:p w14:paraId="6F9918D9">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13</w:t>
            </w:r>
            <w:r>
              <w:rPr>
                <w:rFonts w:hint="eastAsia" w:ascii="仿宋_GB2312" w:hAnsi="仿宋_GB2312" w:cs="仿宋_GB2312"/>
                <w:b w:val="0"/>
                <w:bCs/>
                <w:color w:val="auto"/>
                <w:sz w:val="21"/>
                <w:szCs w:val="21"/>
                <w:lang w:val="en-US" w:eastAsia="zh-CN"/>
              </w:rPr>
              <w:t>110</w:t>
            </w:r>
          </w:p>
        </w:tc>
        <w:tc>
          <w:tcPr>
            <w:tcW w:w="372" w:type="pct"/>
            <w:vMerge w:val="continue"/>
            <w:noWrap w:val="0"/>
            <w:vAlign w:val="center"/>
          </w:tcPr>
          <w:p w14:paraId="79CDE86D">
            <w:pPr>
              <w:keepNext w:val="0"/>
              <w:keepLines w:val="0"/>
              <w:widowControl/>
              <w:suppressLineNumbers w:val="0"/>
              <w:spacing w:before="0" w:beforeAutospacing="0" w:after="0" w:afterAutospacing="0"/>
              <w:ind w:left="0" w:right="0"/>
              <w:jc w:val="left"/>
              <w:rPr>
                <w:rFonts w:hint="eastAsia" w:ascii="仿宋_GB2312" w:hAnsi="仿宋_GB2312" w:cs="仿宋_GB2312"/>
                <w:b w:val="0"/>
                <w:bCs/>
                <w:sz w:val="21"/>
                <w:szCs w:val="21"/>
              </w:rPr>
            </w:pPr>
          </w:p>
        </w:tc>
      </w:tr>
      <w:tr w14:paraId="6774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9" w:type="pct"/>
            <w:noWrap w:val="0"/>
            <w:vAlign w:val="center"/>
          </w:tcPr>
          <w:p w14:paraId="44672A4C">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2</w:t>
            </w:r>
          </w:p>
        </w:tc>
        <w:tc>
          <w:tcPr>
            <w:tcW w:w="374" w:type="pct"/>
            <w:noWrap w:val="0"/>
            <w:vAlign w:val="center"/>
          </w:tcPr>
          <w:p w14:paraId="78BB836B">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龙川</w:t>
            </w:r>
          </w:p>
        </w:tc>
        <w:tc>
          <w:tcPr>
            <w:tcW w:w="243" w:type="pct"/>
            <w:noWrap w:val="0"/>
            <w:vAlign w:val="center"/>
          </w:tcPr>
          <w:p w14:paraId="55937BF9">
            <w:pPr>
              <w:keepNext w:val="0"/>
              <w:keepLines w:val="0"/>
              <w:suppressLineNumbers w:val="0"/>
              <w:spacing w:before="0" w:beforeAutospacing="0" w:after="0" w:afterAutospacing="0"/>
              <w:ind w:left="0" w:leftChars="0" w:right="0" w:rightChars="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lang w:val="en-US" w:eastAsia="zh-CN"/>
              </w:rPr>
              <w:t>171</w:t>
            </w:r>
          </w:p>
        </w:tc>
        <w:tc>
          <w:tcPr>
            <w:tcW w:w="325" w:type="pct"/>
            <w:noWrap w:val="0"/>
            <w:vAlign w:val="center"/>
          </w:tcPr>
          <w:p w14:paraId="1DB22886">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48</w:t>
            </w:r>
          </w:p>
        </w:tc>
        <w:tc>
          <w:tcPr>
            <w:tcW w:w="250" w:type="pct"/>
            <w:noWrap w:val="0"/>
            <w:vAlign w:val="center"/>
          </w:tcPr>
          <w:p w14:paraId="2820F591">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1</w:t>
            </w:r>
          </w:p>
        </w:tc>
        <w:tc>
          <w:tcPr>
            <w:tcW w:w="237" w:type="pct"/>
            <w:noWrap w:val="0"/>
            <w:vAlign w:val="center"/>
          </w:tcPr>
          <w:p w14:paraId="107790B3">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0</w:t>
            </w:r>
          </w:p>
        </w:tc>
        <w:tc>
          <w:tcPr>
            <w:tcW w:w="268" w:type="pct"/>
            <w:noWrap w:val="0"/>
            <w:vAlign w:val="center"/>
          </w:tcPr>
          <w:p w14:paraId="1BDA1E0F">
            <w:pPr>
              <w:keepNext w:val="0"/>
              <w:keepLines w:val="0"/>
              <w:suppressLineNumbers w:val="0"/>
              <w:spacing w:before="0" w:beforeAutospacing="0" w:after="0" w:afterAutospacing="0"/>
              <w:ind w:left="0" w:leftChars="0" w:right="0" w:rightChars="0"/>
              <w:jc w:val="center"/>
              <w:rPr>
                <w:rFonts w:hint="default" w:ascii="仿宋_GB2312" w:hAnsi="仿宋_GB2312" w:cs="仿宋_GB2312"/>
                <w:b w:val="0"/>
                <w:bCs/>
                <w:color w:val="auto"/>
                <w:sz w:val="21"/>
                <w:szCs w:val="21"/>
                <w:lang w:val="en-US" w:eastAsia="zh-CN"/>
              </w:rPr>
            </w:pPr>
            <w:r>
              <w:rPr>
                <w:rFonts w:hint="default" w:ascii="仿宋_GB2312" w:hAnsi="仿宋_GB2312" w:cs="仿宋_GB2312"/>
                <w:b w:val="0"/>
                <w:bCs/>
                <w:color w:val="auto"/>
                <w:sz w:val="21"/>
                <w:szCs w:val="21"/>
              </w:rPr>
              <w:t>17</w:t>
            </w:r>
            <w:r>
              <w:rPr>
                <w:rFonts w:hint="eastAsia" w:ascii="仿宋_GB2312" w:hAnsi="仿宋_GB2312" w:cs="仿宋_GB2312"/>
                <w:b w:val="0"/>
                <w:bCs/>
                <w:color w:val="auto"/>
                <w:sz w:val="21"/>
                <w:szCs w:val="21"/>
                <w:lang w:val="en-US" w:eastAsia="zh-CN"/>
              </w:rPr>
              <w:t>2</w:t>
            </w:r>
          </w:p>
        </w:tc>
        <w:tc>
          <w:tcPr>
            <w:tcW w:w="287" w:type="pct"/>
            <w:noWrap w:val="0"/>
            <w:vAlign w:val="center"/>
          </w:tcPr>
          <w:p w14:paraId="7D456B95">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17001</w:t>
            </w:r>
          </w:p>
        </w:tc>
        <w:tc>
          <w:tcPr>
            <w:tcW w:w="394" w:type="pct"/>
            <w:noWrap w:val="0"/>
            <w:vAlign w:val="center"/>
          </w:tcPr>
          <w:p w14:paraId="398DD167">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76489</w:t>
            </w:r>
          </w:p>
        </w:tc>
        <w:tc>
          <w:tcPr>
            <w:tcW w:w="250" w:type="pct"/>
            <w:noWrap w:val="0"/>
            <w:vAlign w:val="center"/>
          </w:tcPr>
          <w:p w14:paraId="53545684">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17</w:t>
            </w:r>
            <w:r>
              <w:rPr>
                <w:rFonts w:hint="eastAsia" w:ascii="仿宋_GB2312" w:hAnsi="仿宋_GB2312" w:cs="仿宋_GB2312"/>
                <w:b w:val="0"/>
                <w:bCs/>
                <w:color w:val="auto"/>
                <w:sz w:val="21"/>
                <w:szCs w:val="21"/>
                <w:lang w:val="en-US" w:eastAsia="zh-CN"/>
              </w:rPr>
              <w:t>2</w:t>
            </w:r>
          </w:p>
        </w:tc>
        <w:tc>
          <w:tcPr>
            <w:tcW w:w="299" w:type="pct"/>
            <w:noWrap w:val="0"/>
            <w:vAlign w:val="center"/>
          </w:tcPr>
          <w:p w14:paraId="03C03D14">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17001</w:t>
            </w:r>
          </w:p>
        </w:tc>
        <w:tc>
          <w:tcPr>
            <w:tcW w:w="405" w:type="pct"/>
            <w:noWrap w:val="0"/>
            <w:vAlign w:val="center"/>
          </w:tcPr>
          <w:p w14:paraId="66CE87F4">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76489</w:t>
            </w:r>
          </w:p>
        </w:tc>
        <w:tc>
          <w:tcPr>
            <w:tcW w:w="276" w:type="pct"/>
            <w:noWrap w:val="0"/>
            <w:vAlign w:val="center"/>
          </w:tcPr>
          <w:p w14:paraId="1EC404F7">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color w:val="auto"/>
                <w:sz w:val="21"/>
                <w:szCs w:val="21"/>
                <w:lang w:eastAsia="zh-CN"/>
              </w:rPr>
            </w:pPr>
            <w:r>
              <w:rPr>
                <w:rFonts w:hint="default" w:ascii="仿宋_GB2312" w:hAnsi="仿宋_GB2312" w:cs="仿宋_GB2312"/>
                <w:b w:val="0"/>
                <w:bCs/>
                <w:color w:val="auto"/>
                <w:sz w:val="21"/>
                <w:szCs w:val="21"/>
              </w:rPr>
              <w:t>4</w:t>
            </w:r>
            <w:r>
              <w:rPr>
                <w:rFonts w:hint="eastAsia" w:ascii="仿宋_GB2312" w:hAnsi="仿宋_GB2312" w:cs="仿宋_GB2312"/>
                <w:b w:val="0"/>
                <w:bCs/>
                <w:color w:val="auto"/>
                <w:sz w:val="21"/>
                <w:szCs w:val="21"/>
                <w:lang w:val="en-US" w:eastAsia="zh-CN"/>
              </w:rPr>
              <w:t>9</w:t>
            </w:r>
          </w:p>
        </w:tc>
        <w:tc>
          <w:tcPr>
            <w:tcW w:w="336" w:type="pct"/>
            <w:noWrap w:val="0"/>
            <w:vAlign w:val="center"/>
          </w:tcPr>
          <w:p w14:paraId="6B104795">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default" w:ascii="仿宋_GB2312" w:hAnsi="仿宋_GB2312" w:cs="仿宋_GB2312"/>
                <w:b w:val="0"/>
                <w:bCs/>
                <w:color w:val="auto"/>
                <w:sz w:val="21"/>
                <w:szCs w:val="21"/>
              </w:rPr>
              <w:t>13</w:t>
            </w:r>
            <w:r>
              <w:rPr>
                <w:rFonts w:hint="eastAsia" w:ascii="仿宋_GB2312" w:hAnsi="仿宋_GB2312" w:cs="仿宋_GB2312"/>
                <w:b w:val="0"/>
                <w:bCs/>
                <w:color w:val="auto"/>
                <w:sz w:val="21"/>
                <w:szCs w:val="21"/>
                <w:lang w:val="en-US" w:eastAsia="zh-CN"/>
              </w:rPr>
              <w:t>831</w:t>
            </w:r>
          </w:p>
        </w:tc>
        <w:tc>
          <w:tcPr>
            <w:tcW w:w="450" w:type="pct"/>
            <w:noWrap w:val="0"/>
            <w:vAlign w:val="center"/>
          </w:tcPr>
          <w:p w14:paraId="209E77FF">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56439</w:t>
            </w:r>
          </w:p>
        </w:tc>
        <w:tc>
          <w:tcPr>
            <w:tcW w:w="372" w:type="pct"/>
            <w:vMerge w:val="continue"/>
            <w:noWrap w:val="0"/>
            <w:vAlign w:val="center"/>
          </w:tcPr>
          <w:p w14:paraId="0BC2E559">
            <w:pPr>
              <w:keepNext w:val="0"/>
              <w:keepLines w:val="0"/>
              <w:widowControl/>
              <w:suppressLineNumbers w:val="0"/>
              <w:spacing w:before="0" w:beforeAutospacing="0" w:after="0" w:afterAutospacing="0"/>
              <w:ind w:left="0" w:right="0"/>
              <w:jc w:val="left"/>
              <w:rPr>
                <w:rFonts w:hint="eastAsia" w:ascii="仿宋_GB2312" w:hAnsi="仿宋_GB2312" w:cs="仿宋_GB2312"/>
                <w:b w:val="0"/>
                <w:bCs/>
                <w:sz w:val="21"/>
                <w:szCs w:val="21"/>
              </w:rPr>
            </w:pPr>
          </w:p>
        </w:tc>
      </w:tr>
      <w:tr w14:paraId="138B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9" w:type="pct"/>
            <w:noWrap w:val="0"/>
            <w:vAlign w:val="center"/>
          </w:tcPr>
          <w:p w14:paraId="2434EBC9">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3</w:t>
            </w:r>
          </w:p>
        </w:tc>
        <w:tc>
          <w:tcPr>
            <w:tcW w:w="374" w:type="pct"/>
            <w:noWrap w:val="0"/>
            <w:vAlign w:val="center"/>
          </w:tcPr>
          <w:p w14:paraId="096DE9C8">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和平</w:t>
            </w:r>
          </w:p>
        </w:tc>
        <w:tc>
          <w:tcPr>
            <w:tcW w:w="243" w:type="pct"/>
            <w:noWrap w:val="0"/>
            <w:vAlign w:val="center"/>
          </w:tcPr>
          <w:p w14:paraId="3F88A35F">
            <w:pPr>
              <w:keepNext w:val="0"/>
              <w:keepLines w:val="0"/>
              <w:suppressLineNumbers w:val="0"/>
              <w:spacing w:before="0" w:beforeAutospacing="0" w:after="0" w:afterAutospacing="0"/>
              <w:ind w:left="0" w:leftChars="0" w:right="0" w:rightChars="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lang w:val="en-US" w:eastAsia="zh-CN"/>
              </w:rPr>
              <w:t>45</w:t>
            </w:r>
          </w:p>
        </w:tc>
        <w:tc>
          <w:tcPr>
            <w:tcW w:w="325" w:type="pct"/>
            <w:noWrap w:val="0"/>
            <w:vAlign w:val="center"/>
          </w:tcPr>
          <w:p w14:paraId="23625268">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23</w:t>
            </w:r>
          </w:p>
        </w:tc>
        <w:tc>
          <w:tcPr>
            <w:tcW w:w="250" w:type="pct"/>
            <w:noWrap w:val="0"/>
            <w:vAlign w:val="center"/>
          </w:tcPr>
          <w:p w14:paraId="3F84E456">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4</w:t>
            </w:r>
          </w:p>
        </w:tc>
        <w:tc>
          <w:tcPr>
            <w:tcW w:w="237" w:type="pct"/>
            <w:noWrap w:val="0"/>
            <w:vAlign w:val="center"/>
          </w:tcPr>
          <w:p w14:paraId="5F851905">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color w:val="auto"/>
                <w:sz w:val="21"/>
                <w:szCs w:val="21"/>
                <w:lang w:eastAsia="zh-CN"/>
              </w:rPr>
            </w:pPr>
            <w:r>
              <w:rPr>
                <w:rFonts w:hint="eastAsia" w:ascii="仿宋_GB2312" w:hAnsi="仿宋_GB2312" w:cs="仿宋_GB2312"/>
                <w:b w:val="0"/>
                <w:bCs/>
                <w:color w:val="auto"/>
                <w:sz w:val="21"/>
                <w:szCs w:val="21"/>
                <w:lang w:val="en-US" w:eastAsia="zh-CN"/>
              </w:rPr>
              <w:t>2</w:t>
            </w:r>
          </w:p>
        </w:tc>
        <w:tc>
          <w:tcPr>
            <w:tcW w:w="268" w:type="pct"/>
            <w:noWrap w:val="0"/>
            <w:vAlign w:val="center"/>
          </w:tcPr>
          <w:p w14:paraId="1E0903F3">
            <w:pPr>
              <w:keepNext w:val="0"/>
              <w:keepLines w:val="0"/>
              <w:suppressLineNumbers w:val="0"/>
              <w:spacing w:before="0" w:beforeAutospacing="0" w:after="0" w:afterAutospacing="0"/>
              <w:ind w:left="0" w:leftChars="0" w:right="0" w:rightChars="0"/>
              <w:jc w:val="center"/>
              <w:rPr>
                <w:rFonts w:hint="default" w:ascii="仿宋_GB2312" w:hAnsi="仿宋_GB2312" w:cs="仿宋_GB2312"/>
                <w:b w:val="0"/>
                <w:bCs/>
                <w:color w:val="auto"/>
                <w:sz w:val="21"/>
                <w:szCs w:val="21"/>
                <w:lang w:val="en-US" w:eastAsia="zh-CN"/>
              </w:rPr>
            </w:pPr>
            <w:r>
              <w:rPr>
                <w:rFonts w:hint="default" w:ascii="仿宋_GB2312" w:hAnsi="仿宋_GB2312" w:cs="仿宋_GB2312"/>
                <w:b w:val="0"/>
                <w:bCs/>
                <w:color w:val="auto"/>
                <w:sz w:val="21"/>
                <w:szCs w:val="21"/>
              </w:rPr>
              <w:t>4</w:t>
            </w:r>
            <w:r>
              <w:rPr>
                <w:rFonts w:hint="eastAsia" w:ascii="仿宋_GB2312" w:hAnsi="仿宋_GB2312" w:cs="仿宋_GB2312"/>
                <w:b w:val="0"/>
                <w:bCs/>
                <w:color w:val="auto"/>
                <w:sz w:val="21"/>
                <w:szCs w:val="21"/>
                <w:lang w:val="en-US" w:eastAsia="zh-CN"/>
              </w:rPr>
              <w:t>7</w:t>
            </w:r>
          </w:p>
        </w:tc>
        <w:tc>
          <w:tcPr>
            <w:tcW w:w="287" w:type="pct"/>
            <w:noWrap w:val="0"/>
            <w:vAlign w:val="center"/>
          </w:tcPr>
          <w:p w14:paraId="2A63BBC6">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8964</w:t>
            </w:r>
          </w:p>
        </w:tc>
        <w:tc>
          <w:tcPr>
            <w:tcW w:w="394" w:type="pct"/>
            <w:noWrap w:val="0"/>
            <w:vAlign w:val="center"/>
          </w:tcPr>
          <w:p w14:paraId="3EFAFC90">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30588</w:t>
            </w:r>
          </w:p>
        </w:tc>
        <w:tc>
          <w:tcPr>
            <w:tcW w:w="250" w:type="pct"/>
            <w:noWrap w:val="0"/>
            <w:vAlign w:val="center"/>
          </w:tcPr>
          <w:p w14:paraId="6ED55197">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4</w:t>
            </w:r>
            <w:r>
              <w:rPr>
                <w:rFonts w:hint="eastAsia" w:ascii="仿宋_GB2312" w:hAnsi="仿宋_GB2312" w:cs="仿宋_GB2312"/>
                <w:b w:val="0"/>
                <w:bCs/>
                <w:color w:val="auto"/>
                <w:sz w:val="21"/>
                <w:szCs w:val="21"/>
                <w:lang w:val="en-US" w:eastAsia="zh-CN"/>
              </w:rPr>
              <w:t>7</w:t>
            </w:r>
          </w:p>
        </w:tc>
        <w:tc>
          <w:tcPr>
            <w:tcW w:w="299" w:type="pct"/>
            <w:noWrap w:val="0"/>
            <w:vAlign w:val="center"/>
          </w:tcPr>
          <w:p w14:paraId="10000209">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8964</w:t>
            </w:r>
          </w:p>
        </w:tc>
        <w:tc>
          <w:tcPr>
            <w:tcW w:w="405" w:type="pct"/>
            <w:noWrap w:val="0"/>
            <w:vAlign w:val="center"/>
          </w:tcPr>
          <w:p w14:paraId="7EF2872F">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30588</w:t>
            </w:r>
          </w:p>
        </w:tc>
        <w:tc>
          <w:tcPr>
            <w:tcW w:w="276" w:type="pct"/>
            <w:noWrap w:val="0"/>
            <w:vAlign w:val="center"/>
          </w:tcPr>
          <w:p w14:paraId="45462CA6">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color w:val="auto"/>
                <w:sz w:val="21"/>
                <w:szCs w:val="21"/>
                <w:lang w:eastAsia="zh-CN"/>
              </w:rPr>
            </w:pPr>
            <w:r>
              <w:rPr>
                <w:rFonts w:hint="default" w:ascii="仿宋_GB2312" w:hAnsi="仿宋_GB2312" w:cs="仿宋_GB2312"/>
                <w:b w:val="0"/>
                <w:bCs/>
                <w:color w:val="auto"/>
                <w:sz w:val="21"/>
                <w:szCs w:val="21"/>
              </w:rPr>
              <w:t>2</w:t>
            </w:r>
            <w:r>
              <w:rPr>
                <w:rFonts w:hint="eastAsia" w:ascii="仿宋_GB2312" w:hAnsi="仿宋_GB2312" w:cs="仿宋_GB2312"/>
                <w:b w:val="0"/>
                <w:bCs/>
                <w:color w:val="auto"/>
                <w:sz w:val="21"/>
                <w:szCs w:val="21"/>
                <w:lang w:val="en-US" w:eastAsia="zh-CN"/>
              </w:rPr>
              <w:t>5</w:t>
            </w:r>
          </w:p>
        </w:tc>
        <w:tc>
          <w:tcPr>
            <w:tcW w:w="336" w:type="pct"/>
            <w:noWrap w:val="0"/>
            <w:vAlign w:val="center"/>
          </w:tcPr>
          <w:p w14:paraId="20180B2A">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7924</w:t>
            </w:r>
          </w:p>
        </w:tc>
        <w:tc>
          <w:tcPr>
            <w:tcW w:w="450" w:type="pct"/>
            <w:noWrap w:val="0"/>
            <w:vAlign w:val="center"/>
          </w:tcPr>
          <w:p w14:paraId="096A9613">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2</w:t>
            </w:r>
            <w:r>
              <w:rPr>
                <w:rFonts w:hint="eastAsia" w:ascii="仿宋_GB2312" w:hAnsi="仿宋_GB2312" w:cs="仿宋_GB2312"/>
                <w:b w:val="0"/>
                <w:bCs/>
                <w:color w:val="auto"/>
                <w:sz w:val="21"/>
                <w:szCs w:val="21"/>
                <w:lang w:val="en-US" w:eastAsia="zh-CN"/>
              </w:rPr>
              <w:t>5901</w:t>
            </w:r>
          </w:p>
        </w:tc>
        <w:tc>
          <w:tcPr>
            <w:tcW w:w="372" w:type="pct"/>
            <w:vMerge w:val="continue"/>
            <w:noWrap w:val="0"/>
            <w:vAlign w:val="center"/>
          </w:tcPr>
          <w:p w14:paraId="4BF00E28">
            <w:pPr>
              <w:keepNext w:val="0"/>
              <w:keepLines w:val="0"/>
              <w:widowControl/>
              <w:suppressLineNumbers w:val="0"/>
              <w:spacing w:before="0" w:beforeAutospacing="0" w:after="0" w:afterAutospacing="0"/>
              <w:ind w:left="0" w:right="0"/>
              <w:jc w:val="left"/>
              <w:rPr>
                <w:rFonts w:hint="eastAsia" w:ascii="仿宋_GB2312" w:hAnsi="仿宋_GB2312" w:cs="仿宋_GB2312"/>
                <w:b w:val="0"/>
                <w:bCs/>
                <w:sz w:val="21"/>
                <w:szCs w:val="21"/>
              </w:rPr>
            </w:pPr>
          </w:p>
        </w:tc>
      </w:tr>
      <w:tr w14:paraId="1335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29" w:type="pct"/>
            <w:noWrap w:val="0"/>
            <w:vAlign w:val="center"/>
          </w:tcPr>
          <w:p w14:paraId="170DF829">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4</w:t>
            </w:r>
          </w:p>
        </w:tc>
        <w:tc>
          <w:tcPr>
            <w:tcW w:w="374" w:type="pct"/>
            <w:noWrap w:val="0"/>
            <w:vAlign w:val="center"/>
          </w:tcPr>
          <w:p w14:paraId="028C2EE5">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紫金(含</w:t>
            </w:r>
            <w:r>
              <w:rPr>
                <w:rFonts w:hint="default" w:ascii="仿宋_GB2312" w:hAnsi="仿宋_GB2312" w:cs="仿宋_GB2312"/>
                <w:b w:val="0"/>
                <w:bCs/>
                <w:color w:val="auto"/>
                <w:sz w:val="21"/>
                <w:szCs w:val="21"/>
              </w:rPr>
              <w:t>江东</w:t>
            </w:r>
            <w:r>
              <w:rPr>
                <w:rFonts w:hint="eastAsia" w:ascii="仿宋_GB2312" w:hAnsi="仿宋_GB2312" w:cs="仿宋_GB2312"/>
                <w:b w:val="0"/>
                <w:bCs/>
                <w:color w:val="auto"/>
                <w:sz w:val="21"/>
                <w:szCs w:val="21"/>
              </w:rPr>
              <w:t>)</w:t>
            </w:r>
          </w:p>
        </w:tc>
        <w:tc>
          <w:tcPr>
            <w:tcW w:w="243" w:type="pct"/>
            <w:noWrap w:val="0"/>
            <w:vAlign w:val="center"/>
          </w:tcPr>
          <w:p w14:paraId="6C0F1441">
            <w:pPr>
              <w:keepNext w:val="0"/>
              <w:keepLines w:val="0"/>
              <w:suppressLineNumbers w:val="0"/>
              <w:spacing w:before="0" w:beforeAutospacing="0" w:after="0" w:afterAutospacing="0"/>
              <w:ind w:left="0" w:leftChars="0" w:right="0" w:rightChars="0"/>
              <w:jc w:val="center"/>
              <w:rPr>
                <w:rFonts w:hint="eastAsia" w:ascii="仿宋_GB2312" w:hAnsi="仿宋_GB2312" w:cs="仿宋_GB2312"/>
                <w:b w:val="0"/>
                <w:bCs/>
                <w:color w:val="auto"/>
                <w:sz w:val="21"/>
                <w:szCs w:val="21"/>
              </w:rPr>
            </w:pPr>
            <w:r>
              <w:rPr>
                <w:rFonts w:hint="default" w:ascii="仿宋_GB2312" w:hAnsi="仿宋_GB2312" w:cs="仿宋_GB2312"/>
                <w:b w:val="0"/>
                <w:bCs/>
                <w:color w:val="auto"/>
                <w:sz w:val="21"/>
                <w:szCs w:val="21"/>
              </w:rPr>
              <w:t>20</w:t>
            </w:r>
            <w:r>
              <w:rPr>
                <w:rFonts w:hint="eastAsia" w:ascii="仿宋_GB2312" w:hAnsi="仿宋_GB2312" w:cs="仿宋_GB2312"/>
                <w:b w:val="0"/>
                <w:bCs/>
                <w:color w:val="auto"/>
                <w:sz w:val="21"/>
                <w:szCs w:val="21"/>
                <w:lang w:val="en-US" w:eastAsia="zh-CN"/>
              </w:rPr>
              <w:t>7</w:t>
            </w:r>
          </w:p>
        </w:tc>
        <w:tc>
          <w:tcPr>
            <w:tcW w:w="325" w:type="pct"/>
            <w:noWrap w:val="0"/>
            <w:vAlign w:val="center"/>
          </w:tcPr>
          <w:p w14:paraId="4A6F8B65">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color w:val="auto"/>
                <w:sz w:val="21"/>
                <w:szCs w:val="21"/>
                <w:lang w:eastAsia="zh-CN"/>
              </w:rPr>
            </w:pPr>
            <w:r>
              <w:rPr>
                <w:rFonts w:hint="default" w:ascii="仿宋_GB2312" w:hAnsi="仿宋_GB2312" w:cs="仿宋_GB2312"/>
                <w:b w:val="0"/>
                <w:bCs/>
                <w:color w:val="auto"/>
                <w:sz w:val="21"/>
                <w:szCs w:val="21"/>
              </w:rPr>
              <w:t>4</w:t>
            </w:r>
            <w:r>
              <w:rPr>
                <w:rFonts w:hint="eastAsia" w:ascii="仿宋_GB2312" w:hAnsi="仿宋_GB2312" w:cs="仿宋_GB2312"/>
                <w:b w:val="0"/>
                <w:bCs/>
                <w:color w:val="auto"/>
                <w:sz w:val="21"/>
                <w:szCs w:val="21"/>
                <w:lang w:val="en-US" w:eastAsia="zh-CN"/>
              </w:rPr>
              <w:t>7</w:t>
            </w:r>
          </w:p>
        </w:tc>
        <w:tc>
          <w:tcPr>
            <w:tcW w:w="250" w:type="pct"/>
            <w:noWrap w:val="0"/>
            <w:vAlign w:val="center"/>
          </w:tcPr>
          <w:p w14:paraId="289908F1">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color w:val="auto"/>
                <w:sz w:val="21"/>
                <w:szCs w:val="21"/>
                <w:lang w:eastAsia="zh-CN"/>
              </w:rPr>
            </w:pPr>
            <w:r>
              <w:rPr>
                <w:rFonts w:hint="default" w:ascii="仿宋_GB2312" w:hAnsi="仿宋_GB2312" w:cs="仿宋_GB2312"/>
                <w:b w:val="0"/>
                <w:bCs/>
                <w:color w:val="auto"/>
                <w:sz w:val="21"/>
                <w:szCs w:val="21"/>
              </w:rPr>
              <w:t>1</w:t>
            </w:r>
          </w:p>
        </w:tc>
        <w:tc>
          <w:tcPr>
            <w:tcW w:w="237" w:type="pct"/>
            <w:noWrap w:val="0"/>
            <w:vAlign w:val="center"/>
          </w:tcPr>
          <w:p w14:paraId="229F8FA5">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color w:val="auto"/>
                <w:sz w:val="21"/>
                <w:szCs w:val="21"/>
                <w:lang w:eastAsia="zh-CN"/>
              </w:rPr>
            </w:pPr>
            <w:r>
              <w:rPr>
                <w:rFonts w:hint="eastAsia" w:ascii="仿宋_GB2312" w:hAnsi="仿宋_GB2312" w:cs="仿宋_GB2312"/>
                <w:b w:val="0"/>
                <w:bCs/>
                <w:color w:val="auto"/>
                <w:sz w:val="21"/>
                <w:szCs w:val="21"/>
                <w:lang w:val="en-US" w:eastAsia="zh-CN"/>
              </w:rPr>
              <w:t>7</w:t>
            </w:r>
          </w:p>
        </w:tc>
        <w:tc>
          <w:tcPr>
            <w:tcW w:w="268" w:type="pct"/>
            <w:noWrap w:val="0"/>
            <w:vAlign w:val="center"/>
          </w:tcPr>
          <w:p w14:paraId="127A9B2C">
            <w:pPr>
              <w:keepNext w:val="0"/>
              <w:keepLines w:val="0"/>
              <w:suppressLineNumbers w:val="0"/>
              <w:spacing w:before="0" w:beforeAutospacing="0" w:after="0" w:afterAutospacing="0"/>
              <w:ind w:left="0" w:leftChars="0" w:right="0" w:rightChars="0"/>
              <w:jc w:val="center"/>
              <w:rPr>
                <w:rFonts w:hint="default" w:ascii="仿宋_GB2312" w:hAnsi="仿宋_GB2312" w:cs="仿宋_GB2312"/>
                <w:b w:val="0"/>
                <w:bCs/>
                <w:color w:val="auto"/>
                <w:sz w:val="21"/>
                <w:szCs w:val="21"/>
                <w:lang w:val="en-US" w:eastAsia="zh-CN"/>
              </w:rPr>
            </w:pPr>
            <w:r>
              <w:rPr>
                <w:rFonts w:hint="default" w:ascii="仿宋_GB2312" w:hAnsi="仿宋_GB2312" w:cs="仿宋_GB2312"/>
                <w:b w:val="0"/>
                <w:bCs/>
                <w:color w:val="auto"/>
                <w:sz w:val="21"/>
                <w:szCs w:val="21"/>
              </w:rPr>
              <w:t>20</w:t>
            </w:r>
            <w:r>
              <w:rPr>
                <w:rFonts w:hint="eastAsia" w:ascii="仿宋_GB2312" w:hAnsi="仿宋_GB2312" w:cs="仿宋_GB2312"/>
                <w:b w:val="0"/>
                <w:bCs/>
                <w:color w:val="auto"/>
                <w:sz w:val="21"/>
                <w:szCs w:val="21"/>
                <w:lang w:val="en-US" w:eastAsia="zh-CN"/>
              </w:rPr>
              <w:t>1</w:t>
            </w:r>
          </w:p>
        </w:tc>
        <w:tc>
          <w:tcPr>
            <w:tcW w:w="287" w:type="pct"/>
            <w:noWrap w:val="0"/>
            <w:vAlign w:val="center"/>
          </w:tcPr>
          <w:p w14:paraId="4A2CFADE">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21790</w:t>
            </w:r>
          </w:p>
        </w:tc>
        <w:tc>
          <w:tcPr>
            <w:tcW w:w="394" w:type="pct"/>
            <w:noWrap w:val="0"/>
            <w:vAlign w:val="center"/>
          </w:tcPr>
          <w:p w14:paraId="4CEC349F">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34346</w:t>
            </w:r>
          </w:p>
        </w:tc>
        <w:tc>
          <w:tcPr>
            <w:tcW w:w="250" w:type="pct"/>
            <w:noWrap w:val="0"/>
            <w:vAlign w:val="center"/>
          </w:tcPr>
          <w:p w14:paraId="73F5D1A8">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20</w:t>
            </w:r>
            <w:r>
              <w:rPr>
                <w:rFonts w:hint="eastAsia" w:ascii="仿宋_GB2312" w:hAnsi="仿宋_GB2312" w:cs="仿宋_GB2312"/>
                <w:b w:val="0"/>
                <w:bCs/>
                <w:color w:val="auto"/>
                <w:sz w:val="21"/>
                <w:szCs w:val="21"/>
                <w:lang w:val="en-US" w:eastAsia="zh-CN"/>
              </w:rPr>
              <w:t>1</w:t>
            </w:r>
          </w:p>
        </w:tc>
        <w:tc>
          <w:tcPr>
            <w:tcW w:w="299" w:type="pct"/>
            <w:noWrap w:val="0"/>
            <w:vAlign w:val="center"/>
          </w:tcPr>
          <w:p w14:paraId="0732B885">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21790</w:t>
            </w:r>
          </w:p>
        </w:tc>
        <w:tc>
          <w:tcPr>
            <w:tcW w:w="405" w:type="pct"/>
            <w:noWrap w:val="0"/>
            <w:vAlign w:val="center"/>
          </w:tcPr>
          <w:p w14:paraId="7FB14155">
            <w:pPr>
              <w:keepNext w:val="0"/>
              <w:keepLines w:val="0"/>
              <w:suppressLineNumbers w:val="0"/>
              <w:spacing w:before="0" w:beforeAutospacing="0" w:after="0" w:afterAutospacing="0"/>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34346</w:t>
            </w:r>
          </w:p>
        </w:tc>
        <w:tc>
          <w:tcPr>
            <w:tcW w:w="276" w:type="pct"/>
            <w:noWrap w:val="0"/>
            <w:vAlign w:val="center"/>
          </w:tcPr>
          <w:p w14:paraId="1C218382">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color w:val="auto"/>
                <w:sz w:val="21"/>
                <w:szCs w:val="21"/>
                <w:lang w:eastAsia="zh-CN"/>
              </w:rPr>
            </w:pPr>
            <w:r>
              <w:rPr>
                <w:rFonts w:hint="default" w:ascii="仿宋_GB2312" w:hAnsi="仿宋_GB2312" w:cs="仿宋_GB2312"/>
                <w:b w:val="0"/>
                <w:bCs/>
                <w:color w:val="auto"/>
                <w:sz w:val="21"/>
                <w:szCs w:val="21"/>
              </w:rPr>
              <w:t>4</w:t>
            </w:r>
            <w:r>
              <w:rPr>
                <w:rFonts w:hint="eastAsia" w:ascii="仿宋_GB2312" w:hAnsi="仿宋_GB2312" w:cs="仿宋_GB2312"/>
                <w:b w:val="0"/>
                <w:bCs/>
                <w:color w:val="auto"/>
                <w:sz w:val="21"/>
                <w:szCs w:val="21"/>
                <w:lang w:val="en-US" w:eastAsia="zh-CN"/>
              </w:rPr>
              <w:t>2</w:t>
            </w:r>
          </w:p>
        </w:tc>
        <w:tc>
          <w:tcPr>
            <w:tcW w:w="336" w:type="pct"/>
            <w:noWrap w:val="0"/>
            <w:vAlign w:val="center"/>
          </w:tcPr>
          <w:p w14:paraId="6393F5EC">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18977</w:t>
            </w:r>
          </w:p>
        </w:tc>
        <w:tc>
          <w:tcPr>
            <w:tcW w:w="450" w:type="pct"/>
            <w:noWrap w:val="0"/>
            <w:vAlign w:val="center"/>
          </w:tcPr>
          <w:p w14:paraId="4A88A8D5">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27285</w:t>
            </w:r>
          </w:p>
        </w:tc>
        <w:tc>
          <w:tcPr>
            <w:tcW w:w="372" w:type="pct"/>
            <w:vMerge w:val="continue"/>
            <w:noWrap w:val="0"/>
            <w:vAlign w:val="center"/>
          </w:tcPr>
          <w:p w14:paraId="4D06E44C">
            <w:pPr>
              <w:keepNext w:val="0"/>
              <w:keepLines w:val="0"/>
              <w:widowControl/>
              <w:suppressLineNumbers w:val="0"/>
              <w:spacing w:before="0" w:beforeAutospacing="0" w:after="0" w:afterAutospacing="0"/>
              <w:ind w:left="0" w:right="0"/>
              <w:jc w:val="left"/>
              <w:rPr>
                <w:rFonts w:hint="eastAsia" w:ascii="仿宋_GB2312" w:hAnsi="仿宋_GB2312" w:cs="仿宋_GB2312"/>
                <w:b w:val="0"/>
                <w:bCs/>
                <w:sz w:val="21"/>
                <w:szCs w:val="21"/>
              </w:rPr>
            </w:pPr>
          </w:p>
        </w:tc>
      </w:tr>
      <w:tr w14:paraId="0B3E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9" w:type="pct"/>
            <w:noWrap w:val="0"/>
            <w:vAlign w:val="center"/>
          </w:tcPr>
          <w:p w14:paraId="4FB886A4">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5</w:t>
            </w:r>
          </w:p>
        </w:tc>
        <w:tc>
          <w:tcPr>
            <w:tcW w:w="374" w:type="pct"/>
            <w:noWrap w:val="0"/>
            <w:vAlign w:val="center"/>
          </w:tcPr>
          <w:p w14:paraId="6E93225D">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源城</w:t>
            </w:r>
          </w:p>
        </w:tc>
        <w:tc>
          <w:tcPr>
            <w:tcW w:w="243" w:type="pct"/>
            <w:noWrap w:val="0"/>
            <w:vAlign w:val="center"/>
          </w:tcPr>
          <w:p w14:paraId="2ADE0174">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cs="仿宋_GB2312"/>
                <w:b w:val="0"/>
                <w:bCs/>
                <w:color w:val="auto"/>
                <w:sz w:val="21"/>
                <w:szCs w:val="21"/>
              </w:rPr>
            </w:pPr>
            <w:r>
              <w:rPr>
                <w:rFonts w:hint="default" w:ascii="仿宋_GB2312" w:hAnsi="仿宋_GB2312" w:cs="仿宋_GB2312"/>
                <w:b w:val="0"/>
                <w:bCs/>
                <w:color w:val="auto"/>
                <w:sz w:val="21"/>
                <w:szCs w:val="21"/>
              </w:rPr>
              <w:t>3</w:t>
            </w:r>
          </w:p>
        </w:tc>
        <w:tc>
          <w:tcPr>
            <w:tcW w:w="325" w:type="pct"/>
            <w:noWrap w:val="0"/>
            <w:vAlign w:val="center"/>
          </w:tcPr>
          <w:p w14:paraId="274274D6">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default" w:ascii="仿宋_GB2312" w:hAnsi="仿宋_GB2312" w:cs="仿宋_GB2312"/>
                <w:b w:val="0"/>
                <w:bCs/>
                <w:color w:val="auto"/>
                <w:sz w:val="21"/>
                <w:szCs w:val="21"/>
              </w:rPr>
              <w:t>2</w:t>
            </w:r>
          </w:p>
        </w:tc>
        <w:tc>
          <w:tcPr>
            <w:tcW w:w="250" w:type="pct"/>
            <w:noWrap w:val="0"/>
            <w:vAlign w:val="center"/>
          </w:tcPr>
          <w:p w14:paraId="449742B6">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0</w:t>
            </w:r>
          </w:p>
        </w:tc>
        <w:tc>
          <w:tcPr>
            <w:tcW w:w="237" w:type="pct"/>
            <w:noWrap w:val="0"/>
            <w:vAlign w:val="center"/>
          </w:tcPr>
          <w:p w14:paraId="025FBE0B">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lang w:val="en-US" w:eastAsia="zh-CN"/>
              </w:rPr>
              <w:t>0</w:t>
            </w:r>
          </w:p>
        </w:tc>
        <w:tc>
          <w:tcPr>
            <w:tcW w:w="268" w:type="pct"/>
            <w:noWrap w:val="0"/>
            <w:vAlign w:val="center"/>
          </w:tcPr>
          <w:p w14:paraId="2695CDB0">
            <w:pPr>
              <w:keepNext w:val="0"/>
              <w:keepLines w:val="0"/>
              <w:suppressLineNumbers w:val="0"/>
              <w:spacing w:before="0" w:beforeAutospacing="0" w:after="0" w:afterAutospacing="0" w:line="360" w:lineRule="exact"/>
              <w:ind w:left="0" w:leftChars="0" w:right="0" w:rightChars="0"/>
              <w:jc w:val="center"/>
              <w:rPr>
                <w:rFonts w:hint="default" w:ascii="仿宋_GB2312" w:hAnsi="仿宋_GB2312" w:cs="仿宋_GB2312"/>
                <w:b w:val="0"/>
                <w:bCs/>
                <w:color w:val="auto"/>
                <w:sz w:val="21"/>
                <w:szCs w:val="21"/>
                <w:lang w:val="en-US" w:eastAsia="zh-CN"/>
              </w:rPr>
            </w:pPr>
            <w:r>
              <w:rPr>
                <w:rFonts w:hint="default" w:ascii="仿宋_GB2312" w:hAnsi="仿宋_GB2312" w:cs="仿宋_GB2312"/>
                <w:b w:val="0"/>
                <w:bCs/>
                <w:color w:val="auto"/>
                <w:sz w:val="21"/>
                <w:szCs w:val="21"/>
              </w:rPr>
              <w:t>3</w:t>
            </w:r>
          </w:p>
        </w:tc>
        <w:tc>
          <w:tcPr>
            <w:tcW w:w="287" w:type="pct"/>
            <w:noWrap w:val="0"/>
            <w:vAlign w:val="center"/>
          </w:tcPr>
          <w:p w14:paraId="64BC2F67">
            <w:pPr>
              <w:keepNext w:val="0"/>
              <w:keepLines w:val="0"/>
              <w:suppressLineNumbers w:val="0"/>
              <w:spacing w:before="0" w:beforeAutospacing="0" w:after="0" w:afterAutospacing="0" w:line="360" w:lineRule="exact"/>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295</w:t>
            </w:r>
          </w:p>
        </w:tc>
        <w:tc>
          <w:tcPr>
            <w:tcW w:w="394" w:type="pct"/>
            <w:noWrap w:val="0"/>
            <w:vAlign w:val="center"/>
          </w:tcPr>
          <w:p w14:paraId="262208D7">
            <w:pPr>
              <w:keepNext w:val="0"/>
              <w:keepLines w:val="0"/>
              <w:suppressLineNumbers w:val="0"/>
              <w:spacing w:before="0" w:beforeAutospacing="0" w:after="0" w:afterAutospacing="0" w:line="360" w:lineRule="exact"/>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2381</w:t>
            </w:r>
          </w:p>
        </w:tc>
        <w:tc>
          <w:tcPr>
            <w:tcW w:w="250" w:type="pct"/>
            <w:noWrap w:val="0"/>
            <w:vAlign w:val="center"/>
          </w:tcPr>
          <w:p w14:paraId="4A5A383F">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3</w:t>
            </w:r>
          </w:p>
        </w:tc>
        <w:tc>
          <w:tcPr>
            <w:tcW w:w="299" w:type="pct"/>
            <w:noWrap w:val="0"/>
            <w:vAlign w:val="center"/>
          </w:tcPr>
          <w:p w14:paraId="6DEE374E">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lang w:val="en-US" w:eastAsia="zh-CN"/>
              </w:rPr>
              <w:t>295</w:t>
            </w:r>
          </w:p>
        </w:tc>
        <w:tc>
          <w:tcPr>
            <w:tcW w:w="405" w:type="pct"/>
            <w:noWrap w:val="0"/>
            <w:vAlign w:val="center"/>
          </w:tcPr>
          <w:p w14:paraId="262B1624">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lang w:val="en-US" w:eastAsia="zh-CN"/>
              </w:rPr>
              <w:t>2381</w:t>
            </w:r>
          </w:p>
        </w:tc>
        <w:tc>
          <w:tcPr>
            <w:tcW w:w="276" w:type="pct"/>
            <w:noWrap w:val="0"/>
            <w:vAlign w:val="center"/>
          </w:tcPr>
          <w:p w14:paraId="28435E6A">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default" w:ascii="仿宋_GB2312" w:hAnsi="仿宋_GB2312" w:cs="仿宋_GB2312"/>
                <w:b w:val="0"/>
                <w:bCs/>
                <w:color w:val="auto"/>
                <w:sz w:val="21"/>
                <w:szCs w:val="21"/>
              </w:rPr>
              <w:t>2</w:t>
            </w:r>
          </w:p>
        </w:tc>
        <w:tc>
          <w:tcPr>
            <w:tcW w:w="336" w:type="pct"/>
            <w:noWrap w:val="0"/>
            <w:vAlign w:val="center"/>
          </w:tcPr>
          <w:p w14:paraId="2632D9AB">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default" w:ascii="仿宋_GB2312" w:hAnsi="仿宋_GB2312" w:cs="仿宋_GB2312"/>
                <w:b w:val="0"/>
                <w:bCs/>
                <w:color w:val="auto"/>
                <w:sz w:val="21"/>
                <w:szCs w:val="21"/>
              </w:rPr>
              <w:t>222</w:t>
            </w:r>
          </w:p>
        </w:tc>
        <w:tc>
          <w:tcPr>
            <w:tcW w:w="450" w:type="pct"/>
            <w:noWrap w:val="0"/>
            <w:vAlign w:val="center"/>
          </w:tcPr>
          <w:p w14:paraId="3CAD106A">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default" w:ascii="仿宋_GB2312" w:hAnsi="仿宋_GB2312" w:cs="仿宋_GB2312"/>
                <w:b w:val="0"/>
                <w:bCs/>
                <w:color w:val="auto"/>
                <w:sz w:val="21"/>
                <w:szCs w:val="21"/>
              </w:rPr>
              <w:t>1585</w:t>
            </w:r>
          </w:p>
        </w:tc>
        <w:tc>
          <w:tcPr>
            <w:tcW w:w="372" w:type="pct"/>
            <w:vMerge w:val="continue"/>
            <w:noWrap w:val="0"/>
            <w:vAlign w:val="center"/>
          </w:tcPr>
          <w:p w14:paraId="6866A4E4">
            <w:pPr>
              <w:keepNext w:val="0"/>
              <w:keepLines w:val="0"/>
              <w:widowControl/>
              <w:suppressLineNumbers w:val="0"/>
              <w:spacing w:before="0" w:beforeAutospacing="0" w:after="0" w:afterAutospacing="0"/>
              <w:ind w:left="0" w:right="0"/>
              <w:jc w:val="left"/>
              <w:rPr>
                <w:rFonts w:hint="eastAsia" w:ascii="仿宋_GB2312" w:hAnsi="仿宋_GB2312" w:cs="仿宋_GB2312"/>
                <w:b w:val="0"/>
                <w:bCs/>
                <w:sz w:val="21"/>
                <w:szCs w:val="21"/>
              </w:rPr>
            </w:pPr>
          </w:p>
        </w:tc>
      </w:tr>
      <w:tr w14:paraId="167C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9" w:type="pct"/>
            <w:noWrap w:val="0"/>
            <w:vAlign w:val="center"/>
          </w:tcPr>
          <w:p w14:paraId="76574851">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6</w:t>
            </w:r>
          </w:p>
        </w:tc>
        <w:tc>
          <w:tcPr>
            <w:tcW w:w="374" w:type="pct"/>
            <w:noWrap w:val="0"/>
            <w:vAlign w:val="center"/>
          </w:tcPr>
          <w:p w14:paraId="4A6214A4">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东源</w:t>
            </w:r>
          </w:p>
        </w:tc>
        <w:tc>
          <w:tcPr>
            <w:tcW w:w="243" w:type="pct"/>
            <w:noWrap w:val="0"/>
            <w:vAlign w:val="center"/>
          </w:tcPr>
          <w:p w14:paraId="534888CB">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cs="仿宋_GB2312"/>
                <w:b w:val="0"/>
                <w:bCs/>
                <w:color w:val="auto"/>
                <w:sz w:val="21"/>
                <w:szCs w:val="21"/>
              </w:rPr>
            </w:pPr>
            <w:r>
              <w:rPr>
                <w:rFonts w:hint="default" w:ascii="仿宋_GB2312" w:hAnsi="仿宋_GB2312" w:cs="仿宋_GB2312"/>
                <w:b w:val="0"/>
                <w:bCs/>
                <w:color w:val="auto"/>
                <w:sz w:val="21"/>
                <w:szCs w:val="21"/>
              </w:rPr>
              <w:t>25</w:t>
            </w:r>
          </w:p>
        </w:tc>
        <w:tc>
          <w:tcPr>
            <w:tcW w:w="325" w:type="pct"/>
            <w:noWrap w:val="0"/>
            <w:vAlign w:val="center"/>
          </w:tcPr>
          <w:p w14:paraId="69E83E0D">
            <w:pPr>
              <w:keepNext w:val="0"/>
              <w:keepLines w:val="0"/>
              <w:suppressLineNumbers w:val="0"/>
              <w:spacing w:before="0" w:beforeAutospacing="0" w:after="0" w:afterAutospacing="0" w:line="360" w:lineRule="exact"/>
              <w:ind w:left="0" w:right="0"/>
              <w:jc w:val="center"/>
              <w:rPr>
                <w:rFonts w:hint="eastAsia" w:ascii="仿宋_GB2312" w:hAnsi="仿宋_GB2312" w:cs="仿宋_GB2312"/>
                <w:b w:val="0"/>
                <w:bCs/>
                <w:color w:val="auto"/>
                <w:sz w:val="21"/>
                <w:szCs w:val="21"/>
              </w:rPr>
            </w:pPr>
            <w:r>
              <w:rPr>
                <w:rFonts w:hint="default" w:ascii="仿宋_GB2312" w:hAnsi="仿宋_GB2312" w:cs="仿宋_GB2312"/>
                <w:b w:val="0"/>
                <w:bCs/>
                <w:color w:val="auto"/>
                <w:sz w:val="21"/>
                <w:szCs w:val="21"/>
              </w:rPr>
              <w:t>18</w:t>
            </w:r>
          </w:p>
        </w:tc>
        <w:tc>
          <w:tcPr>
            <w:tcW w:w="250" w:type="pct"/>
            <w:noWrap w:val="0"/>
            <w:vAlign w:val="center"/>
          </w:tcPr>
          <w:p w14:paraId="6ECE9155">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rPr>
              <w:t>0</w:t>
            </w:r>
          </w:p>
        </w:tc>
        <w:tc>
          <w:tcPr>
            <w:tcW w:w="237" w:type="pct"/>
            <w:noWrap w:val="0"/>
            <w:vAlign w:val="center"/>
          </w:tcPr>
          <w:p w14:paraId="27D5BF25">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cs="仿宋_GB2312"/>
                <w:b w:val="0"/>
                <w:bCs/>
                <w:color w:val="auto"/>
                <w:sz w:val="21"/>
                <w:szCs w:val="21"/>
              </w:rPr>
            </w:pPr>
            <w:r>
              <w:rPr>
                <w:rFonts w:hint="eastAsia" w:ascii="仿宋_GB2312" w:hAnsi="仿宋_GB2312" w:cs="仿宋_GB2312"/>
                <w:b w:val="0"/>
                <w:bCs/>
                <w:color w:val="auto"/>
                <w:sz w:val="21"/>
                <w:szCs w:val="21"/>
                <w:lang w:val="en-US" w:eastAsia="zh-CN"/>
              </w:rPr>
              <w:t>1</w:t>
            </w:r>
          </w:p>
        </w:tc>
        <w:tc>
          <w:tcPr>
            <w:tcW w:w="268" w:type="pct"/>
            <w:noWrap w:val="0"/>
            <w:vAlign w:val="center"/>
          </w:tcPr>
          <w:p w14:paraId="6CDA4557">
            <w:pPr>
              <w:keepNext w:val="0"/>
              <w:keepLines w:val="0"/>
              <w:suppressLineNumbers w:val="0"/>
              <w:spacing w:before="0" w:beforeAutospacing="0" w:after="0" w:afterAutospacing="0" w:line="360" w:lineRule="exact"/>
              <w:ind w:left="0" w:leftChars="0" w:right="0" w:rightChars="0"/>
              <w:jc w:val="center"/>
              <w:rPr>
                <w:rFonts w:hint="default" w:ascii="仿宋_GB2312" w:hAnsi="仿宋_GB2312" w:cs="仿宋_GB2312"/>
                <w:b w:val="0"/>
                <w:bCs/>
                <w:color w:val="auto"/>
                <w:sz w:val="21"/>
                <w:szCs w:val="21"/>
                <w:lang w:val="en-US" w:eastAsia="zh-CN"/>
              </w:rPr>
            </w:pPr>
            <w:r>
              <w:rPr>
                <w:rFonts w:hint="default" w:ascii="仿宋_GB2312" w:hAnsi="仿宋_GB2312" w:cs="仿宋_GB2312"/>
                <w:b w:val="0"/>
                <w:bCs/>
                <w:color w:val="auto"/>
                <w:sz w:val="21"/>
                <w:szCs w:val="21"/>
              </w:rPr>
              <w:t>2</w:t>
            </w:r>
            <w:r>
              <w:rPr>
                <w:rFonts w:hint="eastAsia" w:ascii="仿宋_GB2312" w:hAnsi="仿宋_GB2312" w:cs="仿宋_GB2312"/>
                <w:b w:val="0"/>
                <w:bCs/>
                <w:color w:val="auto"/>
                <w:sz w:val="21"/>
                <w:szCs w:val="21"/>
                <w:lang w:val="en-US" w:eastAsia="zh-CN"/>
              </w:rPr>
              <w:t>4</w:t>
            </w:r>
          </w:p>
        </w:tc>
        <w:tc>
          <w:tcPr>
            <w:tcW w:w="287" w:type="pct"/>
            <w:noWrap w:val="0"/>
            <w:vAlign w:val="center"/>
          </w:tcPr>
          <w:p w14:paraId="5BC123A6">
            <w:pPr>
              <w:keepNext w:val="0"/>
              <w:keepLines w:val="0"/>
              <w:suppressLineNumbers w:val="0"/>
              <w:spacing w:before="0" w:beforeAutospacing="0" w:after="0" w:afterAutospacing="0" w:line="360" w:lineRule="exact"/>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4556</w:t>
            </w:r>
          </w:p>
        </w:tc>
        <w:tc>
          <w:tcPr>
            <w:tcW w:w="394" w:type="pct"/>
            <w:noWrap w:val="0"/>
            <w:vAlign w:val="center"/>
          </w:tcPr>
          <w:p w14:paraId="641F22CB">
            <w:pPr>
              <w:keepNext w:val="0"/>
              <w:keepLines w:val="0"/>
              <w:suppressLineNumbers w:val="0"/>
              <w:spacing w:before="0" w:beforeAutospacing="0" w:after="0" w:afterAutospacing="0" w:line="360" w:lineRule="exact"/>
              <w:ind w:left="0" w:leftChars="0" w:right="0" w:rightChars="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33974</w:t>
            </w:r>
          </w:p>
        </w:tc>
        <w:tc>
          <w:tcPr>
            <w:tcW w:w="250" w:type="pct"/>
            <w:noWrap w:val="0"/>
            <w:vAlign w:val="center"/>
          </w:tcPr>
          <w:p w14:paraId="065C21EA">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2</w:t>
            </w:r>
            <w:r>
              <w:rPr>
                <w:rFonts w:hint="eastAsia" w:ascii="仿宋_GB2312" w:hAnsi="仿宋_GB2312" w:cs="仿宋_GB2312"/>
                <w:b w:val="0"/>
                <w:bCs/>
                <w:color w:val="auto"/>
                <w:sz w:val="21"/>
                <w:szCs w:val="21"/>
                <w:lang w:val="en-US" w:eastAsia="zh-CN"/>
              </w:rPr>
              <w:t>4</w:t>
            </w:r>
          </w:p>
        </w:tc>
        <w:tc>
          <w:tcPr>
            <w:tcW w:w="299" w:type="pct"/>
            <w:noWrap w:val="0"/>
            <w:vAlign w:val="center"/>
          </w:tcPr>
          <w:p w14:paraId="08109315">
            <w:pPr>
              <w:keepNext w:val="0"/>
              <w:keepLines w:val="0"/>
              <w:suppressLineNumbers w:val="0"/>
              <w:spacing w:before="0" w:beforeAutospacing="0" w:after="0" w:afterAutospacing="0" w:line="360" w:lineRule="exact"/>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4556</w:t>
            </w:r>
          </w:p>
        </w:tc>
        <w:tc>
          <w:tcPr>
            <w:tcW w:w="405" w:type="pct"/>
            <w:noWrap w:val="0"/>
            <w:vAlign w:val="center"/>
          </w:tcPr>
          <w:p w14:paraId="208A460E">
            <w:pPr>
              <w:keepNext w:val="0"/>
              <w:keepLines w:val="0"/>
              <w:suppressLineNumbers w:val="0"/>
              <w:spacing w:before="0" w:beforeAutospacing="0" w:after="0" w:afterAutospacing="0" w:line="360" w:lineRule="exact"/>
              <w:ind w:left="0" w:right="0"/>
              <w:jc w:val="center"/>
              <w:rPr>
                <w:rFonts w:hint="default" w:ascii="仿宋_GB2312" w:hAnsi="仿宋_GB2312" w:cs="仿宋_GB2312"/>
                <w:b w:val="0"/>
                <w:bCs/>
                <w:color w:val="auto"/>
                <w:sz w:val="21"/>
                <w:szCs w:val="21"/>
                <w:lang w:val="en-US"/>
              </w:rPr>
            </w:pPr>
            <w:r>
              <w:rPr>
                <w:rFonts w:hint="eastAsia" w:ascii="仿宋_GB2312" w:hAnsi="仿宋_GB2312" w:cs="仿宋_GB2312"/>
                <w:b w:val="0"/>
                <w:bCs/>
                <w:color w:val="auto"/>
                <w:sz w:val="21"/>
                <w:szCs w:val="21"/>
                <w:lang w:val="en-US" w:eastAsia="zh-CN"/>
              </w:rPr>
              <w:t>33974</w:t>
            </w:r>
          </w:p>
        </w:tc>
        <w:tc>
          <w:tcPr>
            <w:tcW w:w="276" w:type="pct"/>
            <w:noWrap w:val="0"/>
            <w:vAlign w:val="center"/>
          </w:tcPr>
          <w:p w14:paraId="7E720084">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color w:val="auto"/>
                <w:sz w:val="21"/>
                <w:szCs w:val="21"/>
                <w:lang w:eastAsia="zh-CN"/>
              </w:rPr>
            </w:pPr>
            <w:r>
              <w:rPr>
                <w:rFonts w:hint="default" w:ascii="仿宋_GB2312" w:hAnsi="仿宋_GB2312" w:cs="仿宋_GB2312"/>
                <w:b w:val="0"/>
                <w:bCs/>
                <w:color w:val="auto"/>
                <w:sz w:val="21"/>
                <w:szCs w:val="21"/>
              </w:rPr>
              <w:t>1</w:t>
            </w:r>
            <w:r>
              <w:rPr>
                <w:rFonts w:hint="eastAsia" w:ascii="仿宋_GB2312" w:hAnsi="仿宋_GB2312" w:cs="仿宋_GB2312"/>
                <w:b w:val="0"/>
                <w:bCs/>
                <w:color w:val="auto"/>
                <w:sz w:val="21"/>
                <w:szCs w:val="21"/>
                <w:lang w:val="en-US" w:eastAsia="zh-CN"/>
              </w:rPr>
              <w:t>7</w:t>
            </w:r>
          </w:p>
        </w:tc>
        <w:tc>
          <w:tcPr>
            <w:tcW w:w="336" w:type="pct"/>
            <w:noWrap w:val="0"/>
            <w:vAlign w:val="center"/>
          </w:tcPr>
          <w:p w14:paraId="1033499F">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val="0"/>
                <w:bCs/>
                <w:color w:val="auto"/>
                <w:sz w:val="21"/>
                <w:szCs w:val="21"/>
                <w:lang w:val="en-US" w:eastAsia="zh-CN"/>
              </w:rPr>
            </w:pPr>
            <w:r>
              <w:rPr>
                <w:rFonts w:hint="eastAsia" w:ascii="仿宋_GB2312" w:hAnsi="仿宋_GB2312" w:cs="仿宋_GB2312"/>
                <w:b w:val="0"/>
                <w:bCs/>
                <w:color w:val="auto"/>
                <w:sz w:val="21"/>
                <w:szCs w:val="21"/>
                <w:lang w:val="en-US" w:eastAsia="zh-CN"/>
              </w:rPr>
              <w:t>4478</w:t>
            </w:r>
          </w:p>
        </w:tc>
        <w:tc>
          <w:tcPr>
            <w:tcW w:w="450" w:type="pct"/>
            <w:noWrap w:val="0"/>
            <w:vAlign w:val="center"/>
          </w:tcPr>
          <w:p w14:paraId="37AFA26F">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val="0"/>
                <w:bCs/>
                <w:color w:val="auto"/>
                <w:sz w:val="21"/>
                <w:szCs w:val="21"/>
                <w:lang w:val="en-US" w:eastAsia="zh-CN"/>
              </w:rPr>
            </w:pPr>
            <w:r>
              <w:rPr>
                <w:rFonts w:hint="default" w:ascii="仿宋_GB2312" w:hAnsi="仿宋_GB2312" w:cs="仿宋_GB2312"/>
                <w:b w:val="0"/>
                <w:bCs/>
                <w:color w:val="auto"/>
                <w:sz w:val="21"/>
                <w:szCs w:val="21"/>
              </w:rPr>
              <w:t>3</w:t>
            </w:r>
            <w:r>
              <w:rPr>
                <w:rFonts w:hint="eastAsia" w:ascii="仿宋_GB2312" w:hAnsi="仿宋_GB2312" w:cs="仿宋_GB2312"/>
                <w:b w:val="0"/>
                <w:bCs/>
                <w:color w:val="auto"/>
                <w:sz w:val="21"/>
                <w:szCs w:val="21"/>
                <w:lang w:val="en-US" w:eastAsia="zh-CN"/>
              </w:rPr>
              <w:t>3409</w:t>
            </w:r>
          </w:p>
        </w:tc>
        <w:tc>
          <w:tcPr>
            <w:tcW w:w="372" w:type="pct"/>
            <w:vMerge w:val="continue"/>
            <w:noWrap w:val="0"/>
            <w:vAlign w:val="center"/>
          </w:tcPr>
          <w:p w14:paraId="30ADEB3A">
            <w:pPr>
              <w:keepNext w:val="0"/>
              <w:keepLines w:val="0"/>
              <w:widowControl/>
              <w:suppressLineNumbers w:val="0"/>
              <w:spacing w:before="0" w:beforeAutospacing="0" w:after="0" w:afterAutospacing="0"/>
              <w:ind w:left="0" w:right="0"/>
              <w:jc w:val="left"/>
              <w:rPr>
                <w:rFonts w:hint="eastAsia" w:ascii="仿宋_GB2312" w:hAnsi="仿宋_GB2312" w:cs="仿宋_GB2312"/>
                <w:b w:val="0"/>
                <w:bCs/>
                <w:sz w:val="21"/>
                <w:szCs w:val="21"/>
              </w:rPr>
            </w:pPr>
          </w:p>
        </w:tc>
      </w:tr>
    </w:tbl>
    <w:p w14:paraId="4D8746FC">
      <w:pPr>
        <w:ind w:firstLine="420" w:firstLineChars="200"/>
        <w:jc w:val="center"/>
        <w:rPr>
          <w:rFonts w:hint="eastAsia" w:ascii="创艺简标宋" w:hAnsi="创艺简标宋" w:eastAsia="创艺简标宋" w:cs="创艺简标宋"/>
          <w:b w:val="0"/>
          <w:bCs/>
          <w:sz w:val="21"/>
          <w:szCs w:val="21"/>
        </w:rPr>
      </w:pPr>
    </w:p>
    <w:p w14:paraId="33E38C66">
      <w:pPr>
        <w:ind w:firstLine="640" w:firstLineChars="200"/>
        <w:rPr>
          <w:rFonts w:hint="eastAsia" w:ascii="黑体" w:hAnsi="黑体" w:eastAsia="黑体"/>
          <w:b w:val="0"/>
          <w:bCs/>
          <w:szCs w:val="32"/>
        </w:rPr>
      </w:pPr>
    </w:p>
    <w:p w14:paraId="14B1DEF4">
      <w:pPr>
        <w:ind w:firstLine="640" w:firstLineChars="200"/>
        <w:rPr>
          <w:rFonts w:ascii="黑体" w:hAnsi="黑体" w:eastAsia="黑体"/>
          <w:b w:val="0"/>
          <w:bCs/>
          <w:szCs w:val="32"/>
        </w:rPr>
      </w:pPr>
      <w:r>
        <w:rPr>
          <w:rFonts w:hint="eastAsia" w:ascii="黑体" w:hAnsi="黑体" w:eastAsia="黑体"/>
          <w:b w:val="0"/>
          <w:bCs/>
          <w:szCs w:val="32"/>
        </w:rPr>
        <w:t>附件2</w:t>
      </w:r>
    </w:p>
    <w:p w14:paraId="0BBB5E6C">
      <w:pPr>
        <w:ind w:firstLine="880" w:firstLineChars="20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河源市202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年地质灾害防范重点区段</w:t>
      </w:r>
    </w:p>
    <w:tbl>
      <w:tblPr>
        <w:tblStyle w:val="5"/>
        <w:tblW w:w="4596" w:type="pct"/>
        <w:jc w:val="center"/>
        <w:tblLayout w:type="autofit"/>
        <w:tblCellMar>
          <w:top w:w="0" w:type="dxa"/>
          <w:left w:w="108" w:type="dxa"/>
          <w:bottom w:w="0" w:type="dxa"/>
          <w:right w:w="108" w:type="dxa"/>
        </w:tblCellMar>
      </w:tblPr>
      <w:tblGrid>
        <w:gridCol w:w="522"/>
        <w:gridCol w:w="1826"/>
        <w:gridCol w:w="4029"/>
        <w:gridCol w:w="2005"/>
        <w:gridCol w:w="2087"/>
        <w:gridCol w:w="2154"/>
        <w:gridCol w:w="2533"/>
      </w:tblGrid>
      <w:tr w14:paraId="34240C51">
        <w:tblPrEx>
          <w:tblCellMar>
            <w:top w:w="0" w:type="dxa"/>
            <w:left w:w="108" w:type="dxa"/>
            <w:bottom w:w="0" w:type="dxa"/>
            <w:right w:w="108" w:type="dxa"/>
          </w:tblCellMar>
        </w:tblPrEx>
        <w:trPr>
          <w:trHeight w:val="693" w:hRule="atLeast"/>
          <w:jc w:val="center"/>
        </w:trPr>
        <w:tc>
          <w:tcPr>
            <w:tcW w:w="172" w:type="pct"/>
            <w:tcBorders>
              <w:top w:val="single" w:color="auto" w:sz="4" w:space="0"/>
              <w:left w:val="single" w:color="auto" w:sz="4" w:space="0"/>
              <w:bottom w:val="single" w:color="auto" w:sz="4" w:space="0"/>
              <w:right w:val="single" w:color="auto" w:sz="4" w:space="0"/>
            </w:tcBorders>
            <w:noWrap w:val="0"/>
            <w:vAlign w:val="center"/>
          </w:tcPr>
          <w:p w14:paraId="0132CBA6">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4"/>
              </w:rPr>
            </w:pPr>
            <w:r>
              <w:rPr>
                <w:rFonts w:hint="eastAsia" w:ascii="黑体" w:hAnsi="黑体" w:eastAsia="黑体" w:cs="黑体"/>
                <w:b w:val="0"/>
                <w:bCs/>
                <w:sz w:val="24"/>
              </w:rPr>
              <w:t>序号</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1563098B">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4"/>
              </w:rPr>
            </w:pPr>
            <w:r>
              <w:rPr>
                <w:rFonts w:hint="eastAsia" w:ascii="黑体" w:hAnsi="黑体" w:eastAsia="黑体" w:cs="黑体"/>
                <w:b w:val="0"/>
                <w:bCs/>
                <w:sz w:val="24"/>
              </w:rPr>
              <w:t>类型</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07153425">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4"/>
              </w:rPr>
            </w:pPr>
            <w:r>
              <w:rPr>
                <w:rFonts w:hint="eastAsia" w:ascii="黑体" w:hAnsi="黑体" w:eastAsia="黑体" w:cs="黑体"/>
                <w:b w:val="0"/>
                <w:bCs/>
                <w:sz w:val="24"/>
              </w:rPr>
              <w:t>重点区段</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519C0B3F">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4"/>
              </w:rPr>
            </w:pPr>
            <w:r>
              <w:rPr>
                <w:rFonts w:hint="eastAsia" w:ascii="黑体" w:hAnsi="黑体" w:eastAsia="黑体" w:cs="黑体"/>
                <w:b w:val="0"/>
                <w:bCs/>
                <w:sz w:val="24"/>
              </w:rPr>
              <w:t>主要灾害</w:t>
            </w:r>
          </w:p>
          <w:p w14:paraId="0048233B">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4"/>
              </w:rPr>
            </w:pPr>
            <w:r>
              <w:rPr>
                <w:rFonts w:hint="eastAsia" w:ascii="黑体" w:hAnsi="黑体" w:eastAsia="黑体" w:cs="黑体"/>
                <w:b w:val="0"/>
                <w:bCs/>
                <w:sz w:val="24"/>
              </w:rPr>
              <w:t>类型</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47312D10">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4"/>
              </w:rPr>
            </w:pPr>
            <w:r>
              <w:rPr>
                <w:rFonts w:hint="eastAsia" w:ascii="黑体" w:hAnsi="黑体" w:eastAsia="黑体" w:cs="黑体"/>
                <w:b w:val="0"/>
                <w:bCs/>
                <w:sz w:val="24"/>
              </w:rPr>
              <w:t>防范措施</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33E8F8E6">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4"/>
              </w:rPr>
            </w:pPr>
            <w:r>
              <w:rPr>
                <w:rFonts w:hint="eastAsia" w:ascii="黑体" w:hAnsi="黑体" w:eastAsia="黑体" w:cs="黑体"/>
                <w:b w:val="0"/>
                <w:bCs/>
                <w:sz w:val="24"/>
              </w:rPr>
              <w:t>涉及的行业或</w:t>
            </w:r>
          </w:p>
          <w:p w14:paraId="139356F4">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4"/>
              </w:rPr>
            </w:pPr>
            <w:r>
              <w:rPr>
                <w:rFonts w:hint="eastAsia" w:ascii="黑体" w:hAnsi="黑体" w:eastAsia="黑体" w:cs="黑体"/>
                <w:b w:val="0"/>
                <w:bCs/>
                <w:sz w:val="24"/>
              </w:rPr>
              <w:t>主管部门</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10850875">
            <w:pPr>
              <w:keepNext w:val="0"/>
              <w:keepLines w:val="0"/>
              <w:suppressLineNumbers w:val="0"/>
              <w:spacing w:before="0" w:beforeAutospacing="0" w:after="0" w:afterAutospacing="0" w:line="360" w:lineRule="exact"/>
              <w:ind w:left="0" w:right="0"/>
              <w:jc w:val="center"/>
              <w:rPr>
                <w:rFonts w:hint="eastAsia" w:ascii="黑体" w:hAnsi="黑体" w:eastAsia="黑体" w:cs="黑体"/>
                <w:b w:val="0"/>
                <w:bCs/>
                <w:sz w:val="24"/>
              </w:rPr>
            </w:pPr>
            <w:r>
              <w:rPr>
                <w:rFonts w:hint="eastAsia" w:ascii="黑体" w:hAnsi="黑体" w:eastAsia="黑体" w:cs="黑体"/>
                <w:b w:val="0"/>
                <w:bCs/>
                <w:sz w:val="24"/>
              </w:rPr>
              <w:t>监测预防责任人</w:t>
            </w:r>
          </w:p>
        </w:tc>
      </w:tr>
      <w:tr w14:paraId="175F3947">
        <w:tblPrEx>
          <w:tblCellMar>
            <w:top w:w="0" w:type="dxa"/>
            <w:left w:w="108" w:type="dxa"/>
            <w:bottom w:w="0" w:type="dxa"/>
            <w:right w:w="108" w:type="dxa"/>
          </w:tblCellMar>
        </w:tblPrEx>
        <w:trPr>
          <w:trHeight w:val="2439" w:hRule="atLeast"/>
          <w:jc w:val="center"/>
        </w:trPr>
        <w:tc>
          <w:tcPr>
            <w:tcW w:w="172" w:type="pct"/>
            <w:tcBorders>
              <w:top w:val="single" w:color="auto" w:sz="4" w:space="0"/>
              <w:left w:val="single" w:color="auto" w:sz="4" w:space="0"/>
              <w:bottom w:val="single" w:color="auto" w:sz="4" w:space="0"/>
              <w:right w:val="single" w:color="auto" w:sz="4" w:space="0"/>
            </w:tcBorders>
            <w:noWrap w:val="0"/>
            <w:vAlign w:val="center"/>
          </w:tcPr>
          <w:p w14:paraId="1E3EABAE">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1</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1B1E258C">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村、镇居民点</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0FE9985E">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紫金县：紫城镇、南岭镇、龙窝镇、水墩镇、苏区镇、黄塘镇；</w:t>
            </w:r>
          </w:p>
          <w:p w14:paraId="66EF7B8C">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连平县：上坪镇、隆街镇、陂头镇、溪山镇；</w:t>
            </w:r>
          </w:p>
          <w:p w14:paraId="31D169C2">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和平县：阳明镇、大坝镇、长塘镇、贝墩镇、古寨镇、合水镇；</w:t>
            </w:r>
          </w:p>
          <w:p w14:paraId="2F2A631F">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龙川县：老隆镇、黄石镇、细坳镇、贝岭镇、上坪镇、铁场镇、麻布岗镇；</w:t>
            </w:r>
          </w:p>
          <w:p w14:paraId="08232CF8">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东源县：船塘镇、锡场镇、新港镇</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78AE3375">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崩塌、滑坡、地面塌陷</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5460491A">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监测、巡查、排查</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5A5A126B">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各级人民政府</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1456E7EA">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各级人民政府主管</w:t>
            </w:r>
          </w:p>
          <w:p w14:paraId="4D65ECD4">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部门负责人</w:t>
            </w:r>
          </w:p>
        </w:tc>
      </w:tr>
      <w:tr w14:paraId="2EEF4243">
        <w:tblPrEx>
          <w:tblCellMar>
            <w:top w:w="0" w:type="dxa"/>
            <w:left w:w="108" w:type="dxa"/>
            <w:bottom w:w="0" w:type="dxa"/>
            <w:right w:w="108" w:type="dxa"/>
          </w:tblCellMar>
        </w:tblPrEx>
        <w:trPr>
          <w:trHeight w:val="617" w:hRule="atLeast"/>
          <w:jc w:val="center"/>
        </w:trPr>
        <w:tc>
          <w:tcPr>
            <w:tcW w:w="172" w:type="pct"/>
            <w:tcBorders>
              <w:top w:val="single" w:color="auto" w:sz="4" w:space="0"/>
              <w:left w:val="single" w:color="auto" w:sz="4" w:space="0"/>
              <w:bottom w:val="single" w:color="auto" w:sz="4" w:space="0"/>
              <w:right w:val="single" w:color="auto" w:sz="4" w:space="0"/>
            </w:tcBorders>
            <w:noWrap w:val="0"/>
            <w:vAlign w:val="center"/>
          </w:tcPr>
          <w:p w14:paraId="38F1D93C">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2</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36B2DC01">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交通干线</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19A5ECE8">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在建或新建交通干线开挖、回填路段</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527FC8E0">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崩塌、滑坡</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38A81F6A">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监测、巡查、排查</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6FCBEAD7">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交通运输</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3C8943D2">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交通运输主管部门</w:t>
            </w:r>
          </w:p>
          <w:p w14:paraId="755782C5">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负责人</w:t>
            </w:r>
          </w:p>
        </w:tc>
      </w:tr>
      <w:tr w14:paraId="577A0E3D">
        <w:tblPrEx>
          <w:tblCellMar>
            <w:top w:w="0" w:type="dxa"/>
            <w:left w:w="108" w:type="dxa"/>
            <w:bottom w:w="0" w:type="dxa"/>
            <w:right w:w="108" w:type="dxa"/>
          </w:tblCellMar>
        </w:tblPrEx>
        <w:trPr>
          <w:trHeight w:val="617" w:hRule="atLeast"/>
          <w:jc w:val="center"/>
        </w:trPr>
        <w:tc>
          <w:tcPr>
            <w:tcW w:w="172" w:type="pct"/>
            <w:tcBorders>
              <w:top w:val="single" w:color="auto" w:sz="4" w:space="0"/>
              <w:left w:val="single" w:color="auto" w:sz="4" w:space="0"/>
              <w:bottom w:val="single" w:color="auto" w:sz="4" w:space="0"/>
              <w:right w:val="single" w:color="auto" w:sz="4" w:space="0"/>
            </w:tcBorders>
            <w:noWrap w:val="0"/>
            <w:vAlign w:val="center"/>
          </w:tcPr>
          <w:p w14:paraId="235866B7">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2F0DB670">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水库、河流</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4DC65BB3">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新丰江、枫树坝库区及河流沿岸居民点</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2C3C4286">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崩塌、滑坡、泥石流、地面塌陷</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610E6B0C">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监测、巡查、排查</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0AE240DA">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水务</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7D773C8D">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水务主管部门负责人</w:t>
            </w:r>
          </w:p>
        </w:tc>
      </w:tr>
      <w:tr w14:paraId="4FFD10FD">
        <w:tblPrEx>
          <w:tblCellMar>
            <w:top w:w="0" w:type="dxa"/>
            <w:left w:w="108" w:type="dxa"/>
            <w:bottom w:w="0" w:type="dxa"/>
            <w:right w:w="108" w:type="dxa"/>
          </w:tblCellMar>
        </w:tblPrEx>
        <w:trPr>
          <w:trHeight w:val="737" w:hRule="atLeast"/>
          <w:jc w:val="center"/>
        </w:trPr>
        <w:tc>
          <w:tcPr>
            <w:tcW w:w="172" w:type="pct"/>
            <w:tcBorders>
              <w:top w:val="single" w:color="auto" w:sz="4" w:space="0"/>
              <w:left w:val="single" w:color="auto" w:sz="4" w:space="0"/>
              <w:bottom w:val="single" w:color="auto" w:sz="4" w:space="0"/>
              <w:right w:val="single" w:color="auto" w:sz="4" w:space="0"/>
            </w:tcBorders>
            <w:noWrap w:val="0"/>
            <w:vAlign w:val="center"/>
          </w:tcPr>
          <w:p w14:paraId="5BA8E2ED">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4</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230D3278">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厂矿企业</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7BB0724D">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各县区地下开采矿区；东源、和平、紫金瓷土矿露天开采矿区</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3BFF2BDB">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崩塌、滑坡、泥石流、地面塌陷</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3BDFA35D">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监测、巡查、排查</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49E57CEF">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rPr>
              <w:t>应急、自然</w:t>
            </w:r>
            <w:r>
              <w:rPr>
                <w:rFonts w:hint="eastAsia" w:ascii="仿宋_GB2312" w:hAnsi="仿宋_GB2312" w:eastAsia="仿宋_GB2312" w:cs="仿宋_GB2312"/>
                <w:b w:val="0"/>
                <w:bCs/>
                <w:sz w:val="24"/>
                <w:lang w:eastAsia="zh-CN"/>
              </w:rPr>
              <w:t>资源</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7D00D5EF">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应急、自然</w:t>
            </w:r>
            <w:r>
              <w:rPr>
                <w:rFonts w:hint="eastAsia" w:ascii="仿宋_GB2312" w:hAnsi="仿宋_GB2312" w:eastAsia="仿宋_GB2312" w:cs="仿宋_GB2312"/>
                <w:b w:val="0"/>
                <w:bCs/>
                <w:sz w:val="24"/>
                <w:lang w:eastAsia="zh-CN"/>
              </w:rPr>
              <w:t>资源</w:t>
            </w:r>
            <w:r>
              <w:rPr>
                <w:rFonts w:hint="eastAsia" w:ascii="仿宋_GB2312" w:hAnsi="仿宋_GB2312" w:eastAsia="仿宋_GB2312" w:cs="仿宋_GB2312"/>
                <w:b w:val="0"/>
                <w:bCs/>
                <w:sz w:val="24"/>
              </w:rPr>
              <w:t>主管</w:t>
            </w:r>
          </w:p>
          <w:p w14:paraId="0535BC18">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部门负责人</w:t>
            </w:r>
          </w:p>
        </w:tc>
      </w:tr>
      <w:tr w14:paraId="4FDD0D3C">
        <w:tblPrEx>
          <w:tblCellMar>
            <w:top w:w="0" w:type="dxa"/>
            <w:left w:w="108" w:type="dxa"/>
            <w:bottom w:w="0" w:type="dxa"/>
            <w:right w:w="108" w:type="dxa"/>
          </w:tblCellMar>
        </w:tblPrEx>
        <w:trPr>
          <w:trHeight w:val="786" w:hRule="atLeast"/>
          <w:jc w:val="center"/>
        </w:trPr>
        <w:tc>
          <w:tcPr>
            <w:tcW w:w="172" w:type="pct"/>
            <w:tcBorders>
              <w:top w:val="single" w:color="auto" w:sz="4" w:space="0"/>
              <w:left w:val="single" w:color="auto" w:sz="4" w:space="0"/>
              <w:bottom w:val="single" w:color="auto" w:sz="4" w:space="0"/>
              <w:right w:val="single" w:color="auto" w:sz="4" w:space="0"/>
            </w:tcBorders>
            <w:noWrap w:val="0"/>
            <w:vAlign w:val="center"/>
          </w:tcPr>
          <w:p w14:paraId="61CB03F0">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5</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3FB7E791">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农村中小学校</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20BE6C42">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紫金县、龙川县、和平县、东源县、连平县中小学等</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67FF40E0">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崩塌、滑坡</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2456785B">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监测、巡查、排查</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6214AD57">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教育</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5A3390BF">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教育主管部门负责人</w:t>
            </w:r>
          </w:p>
        </w:tc>
      </w:tr>
      <w:tr w14:paraId="4D9B0643">
        <w:tblPrEx>
          <w:tblCellMar>
            <w:top w:w="0" w:type="dxa"/>
            <w:left w:w="108" w:type="dxa"/>
            <w:bottom w:w="0" w:type="dxa"/>
            <w:right w:w="108" w:type="dxa"/>
          </w:tblCellMar>
        </w:tblPrEx>
        <w:trPr>
          <w:trHeight w:val="617" w:hRule="atLeast"/>
          <w:jc w:val="center"/>
        </w:trPr>
        <w:tc>
          <w:tcPr>
            <w:tcW w:w="172" w:type="pct"/>
            <w:tcBorders>
              <w:top w:val="single" w:color="auto" w:sz="4" w:space="0"/>
              <w:left w:val="single" w:color="auto" w:sz="4" w:space="0"/>
              <w:bottom w:val="single" w:color="auto" w:sz="4" w:space="0"/>
              <w:right w:val="single" w:color="auto" w:sz="4" w:space="0"/>
            </w:tcBorders>
            <w:noWrap w:val="0"/>
            <w:vAlign w:val="center"/>
          </w:tcPr>
          <w:p w14:paraId="2BA401F4">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6</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4FD86F8D">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旅游景点、风景区</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1BE64DE7">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各景区道路、建筑切坡、抽排地下水等区域</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26EB8D9E">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崩塌、滑坡、泥石流、地面塌陷</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170DB000">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监测、巡查、排查</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210A3295">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文化广电旅游体育</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3277491F">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旅游主管部门负责人</w:t>
            </w:r>
          </w:p>
        </w:tc>
      </w:tr>
      <w:tr w14:paraId="137C7300">
        <w:tblPrEx>
          <w:tblCellMar>
            <w:top w:w="0" w:type="dxa"/>
            <w:left w:w="108" w:type="dxa"/>
            <w:bottom w:w="0" w:type="dxa"/>
            <w:right w:w="108" w:type="dxa"/>
          </w:tblCellMar>
        </w:tblPrEx>
        <w:trPr>
          <w:trHeight w:val="930" w:hRule="atLeast"/>
          <w:jc w:val="center"/>
        </w:trPr>
        <w:tc>
          <w:tcPr>
            <w:tcW w:w="172" w:type="pct"/>
            <w:tcBorders>
              <w:top w:val="single" w:color="auto" w:sz="4" w:space="0"/>
              <w:left w:val="single" w:color="auto" w:sz="4" w:space="0"/>
              <w:bottom w:val="single" w:color="auto" w:sz="4" w:space="0"/>
              <w:right w:val="single" w:color="auto" w:sz="4" w:space="0"/>
            </w:tcBorders>
            <w:noWrap w:val="0"/>
            <w:vAlign w:val="center"/>
          </w:tcPr>
          <w:p w14:paraId="10C83271">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7</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13AB4C52">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在册重要地质灾害隐患点</w:t>
            </w:r>
          </w:p>
        </w:tc>
        <w:tc>
          <w:tcPr>
            <w:tcW w:w="1328" w:type="pct"/>
            <w:tcBorders>
              <w:top w:val="single" w:color="auto" w:sz="4" w:space="0"/>
              <w:left w:val="single" w:color="auto" w:sz="4" w:space="0"/>
              <w:bottom w:val="single" w:color="auto" w:sz="4" w:space="0"/>
              <w:right w:val="single" w:color="auto" w:sz="4" w:space="0"/>
            </w:tcBorders>
            <w:noWrap w:val="0"/>
            <w:vAlign w:val="center"/>
          </w:tcPr>
          <w:p w14:paraId="4BD10E2C">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全市1</w:t>
            </w:r>
            <w:r>
              <w:rPr>
                <w:rFonts w:hint="eastAsia" w:ascii="仿宋_GB2312" w:hAnsi="仿宋_GB2312" w:eastAsia="仿宋_GB2312" w:cs="仿宋_GB2312"/>
                <w:b w:val="0"/>
                <w:bCs/>
                <w:sz w:val="24"/>
                <w:lang w:val="en-US" w:eastAsia="zh-CN"/>
              </w:rPr>
              <w:t>49</w:t>
            </w:r>
            <w:r>
              <w:rPr>
                <w:rFonts w:hint="eastAsia" w:ascii="仿宋_GB2312" w:hAnsi="仿宋_GB2312" w:eastAsia="仿宋_GB2312" w:cs="仿宋_GB2312"/>
                <w:b w:val="0"/>
                <w:bCs/>
                <w:sz w:val="24"/>
              </w:rPr>
              <w:t>处在册重要100人以上地质灾害隐患点</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466F1D18">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崩塌、滑坡、泥石流、地面塌陷</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35A1238C">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监测、搬迁、治理</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48E0F918">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各级人民政府、</w:t>
            </w:r>
          </w:p>
          <w:p w14:paraId="119C8E09">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自然资源</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526FAC88">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各级人民政府、自然</w:t>
            </w:r>
          </w:p>
          <w:p w14:paraId="6C74806D">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资源主管部门负责人</w:t>
            </w:r>
          </w:p>
        </w:tc>
      </w:tr>
    </w:tbl>
    <w:p w14:paraId="6BDE4B20">
      <w:pPr>
        <w:jc w:val="both"/>
        <w:rPr>
          <w:rFonts w:hint="eastAsia" w:ascii="仿宋" w:hAnsi="仿宋" w:eastAsia="仿宋" w:cs="仿宋"/>
          <w:b w:val="0"/>
          <w:bCs/>
          <w:sz w:val="36"/>
          <w:szCs w:val="36"/>
          <w:lang w:eastAsia="zh-CN"/>
        </w:rPr>
        <w:sectPr>
          <w:footerReference r:id="rId5" w:type="default"/>
          <w:pgSz w:w="16838" w:h="11906" w:orient="landscape"/>
          <w:pgMar w:top="850" w:right="283" w:bottom="283" w:left="283" w:header="851" w:footer="992" w:gutter="0"/>
          <w:pgNumType w:fmt="decimal" w:start="11"/>
          <w:cols w:space="720" w:num="1"/>
          <w:docGrid w:type="lines" w:linePitch="440" w:charSpace="0"/>
        </w:sectPr>
      </w:pPr>
    </w:p>
    <w:p w14:paraId="3D7C4AC5">
      <w:pPr>
        <w:ind w:left="1" w:leftChars="-221" w:hanging="699" w:hangingChars="221"/>
        <w:rPr>
          <w:rFonts w:hint="eastAsia" w:ascii="黑体" w:hAnsi="黑体" w:eastAsia="黑体"/>
          <w:b w:val="0"/>
          <w:bCs/>
          <w:szCs w:val="32"/>
          <w:lang w:val="en-US" w:eastAsia="zh-CN"/>
        </w:rPr>
      </w:pPr>
      <w:r>
        <w:rPr>
          <w:rFonts w:hint="eastAsia" w:ascii="黑体" w:hAnsi="黑体" w:eastAsia="黑体"/>
          <w:b w:val="0"/>
          <w:bCs/>
          <w:szCs w:val="32"/>
          <w:lang w:eastAsia="zh-CN"/>
        </w:rPr>
        <w:t>附件</w:t>
      </w:r>
      <w:r>
        <w:rPr>
          <w:rFonts w:hint="eastAsia" w:ascii="黑体" w:hAnsi="黑体" w:eastAsia="黑体"/>
          <w:b w:val="0"/>
          <w:bCs/>
          <w:szCs w:val="32"/>
          <w:lang w:val="en-US" w:eastAsia="zh-CN"/>
        </w:rPr>
        <w:t>3</w:t>
      </w:r>
    </w:p>
    <w:p w14:paraId="62CB1000">
      <w:pPr>
        <w:jc w:val="center"/>
        <w:rPr>
          <w:rFonts w:hint="eastAsia" w:ascii="方正小标宋简体" w:hAnsi="方正小标宋简体" w:eastAsia="方正小标宋简体" w:cs="方正小标宋简体"/>
          <w:b w:val="0"/>
          <w:bCs/>
          <w:sz w:val="40"/>
          <w:szCs w:val="32"/>
          <w:lang w:eastAsia="zh-CN"/>
        </w:rPr>
      </w:pPr>
      <w:r>
        <w:rPr>
          <w:rFonts w:hint="eastAsia" w:ascii="方正小标宋简体" w:hAnsi="方正小标宋简体" w:eastAsia="方正小标宋简体" w:cs="方正小标宋简体"/>
          <w:b w:val="0"/>
          <w:bCs/>
          <w:sz w:val="40"/>
          <w:szCs w:val="32"/>
          <w:lang w:eastAsia="zh-CN"/>
        </w:rPr>
        <w:t>责任单位工作职责清单</w:t>
      </w:r>
    </w:p>
    <w:tbl>
      <w:tblPr>
        <w:tblStyle w:val="6"/>
        <w:tblW w:w="15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2845"/>
      </w:tblGrid>
      <w:tr w14:paraId="1BC2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2218" w:type="dxa"/>
            <w:vAlign w:val="center"/>
          </w:tcPr>
          <w:p w14:paraId="5571A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b w:val="0"/>
                <w:bCs/>
                <w:color w:val="000000"/>
                <w:kern w:val="30"/>
                <w:sz w:val="24"/>
                <w:szCs w:val="24"/>
                <w:lang w:val="en-US" w:eastAsia="zh-CN" w:bidi="ar-SA"/>
              </w:rPr>
            </w:pPr>
            <w:r>
              <w:rPr>
                <w:rFonts w:hint="eastAsia" w:ascii="黑体" w:hAnsi="黑体" w:eastAsia="黑体" w:cs="黑体"/>
                <w:b w:val="0"/>
                <w:bCs/>
                <w:color w:val="000000"/>
                <w:kern w:val="30"/>
                <w:sz w:val="24"/>
                <w:szCs w:val="24"/>
                <w:lang w:val="en-US" w:eastAsia="zh-CN" w:bidi="ar-SA"/>
              </w:rPr>
              <w:t>责任单位</w:t>
            </w:r>
          </w:p>
        </w:tc>
        <w:tc>
          <w:tcPr>
            <w:tcW w:w="12845" w:type="dxa"/>
            <w:vAlign w:val="center"/>
          </w:tcPr>
          <w:p w14:paraId="39E5A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b w:val="0"/>
                <w:bCs/>
                <w:color w:val="000000"/>
                <w:kern w:val="30"/>
                <w:sz w:val="24"/>
                <w:szCs w:val="24"/>
                <w:lang w:eastAsia="zh-CN"/>
              </w:rPr>
            </w:pPr>
            <w:r>
              <w:rPr>
                <w:rFonts w:hint="eastAsia" w:ascii="黑体" w:hAnsi="黑体" w:eastAsia="黑体" w:cs="黑体"/>
                <w:b w:val="0"/>
                <w:bCs/>
                <w:color w:val="000000"/>
                <w:kern w:val="30"/>
                <w:sz w:val="24"/>
                <w:szCs w:val="24"/>
                <w:lang w:eastAsia="zh-CN"/>
              </w:rPr>
              <w:t>工作职责</w:t>
            </w:r>
          </w:p>
        </w:tc>
      </w:tr>
      <w:tr w14:paraId="330C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4EAC9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各县（区）政府</w:t>
            </w:r>
          </w:p>
          <w:p w14:paraId="3D527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sz w:val="24"/>
                <w:szCs w:val="24"/>
                <w:vertAlign w:val="baseline"/>
              </w:rPr>
            </w:pPr>
            <w:r>
              <w:rPr>
                <w:rFonts w:hint="eastAsia" w:ascii="仿宋_GB2312" w:hAnsi="仿宋_GB2312" w:eastAsia="仿宋_GB2312" w:cs="仿宋_GB2312"/>
                <w:b w:val="0"/>
                <w:bCs/>
                <w:color w:val="000000"/>
                <w:kern w:val="30"/>
                <w:sz w:val="24"/>
                <w:szCs w:val="24"/>
                <w:lang w:val="en-US" w:eastAsia="zh-CN" w:bidi="ar-SA"/>
              </w:rPr>
              <w:t>（管委会）</w:t>
            </w:r>
          </w:p>
        </w:tc>
        <w:tc>
          <w:tcPr>
            <w:tcW w:w="12845" w:type="dxa"/>
            <w:vAlign w:val="center"/>
          </w:tcPr>
          <w:p w14:paraId="6577E92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440" w:lineRule="exact"/>
              <w:ind w:left="0" w:right="0"/>
              <w:jc w:val="left"/>
              <w:textAlignment w:val="auto"/>
              <w:rPr>
                <w:rFonts w:hint="default" w:ascii="仿宋_GB2312" w:hAnsi="仿宋_GB2312" w:eastAsia="仿宋_GB2312" w:cs="仿宋_GB2312"/>
                <w:b w:val="0"/>
                <w:bCs/>
                <w:color w:val="000000"/>
                <w:kern w:val="30"/>
                <w:sz w:val="24"/>
                <w:szCs w:val="24"/>
              </w:rPr>
            </w:pPr>
            <w:r>
              <w:rPr>
                <w:rFonts w:hint="eastAsia" w:ascii="仿宋_GB2312" w:hAnsi="仿宋_GB2312" w:eastAsia="仿宋_GB2312" w:cs="仿宋_GB2312"/>
                <w:b w:val="0"/>
                <w:bCs/>
                <w:color w:val="000000"/>
                <w:kern w:val="30"/>
                <w:sz w:val="24"/>
                <w:szCs w:val="24"/>
              </w:rPr>
              <w:t>1</w:t>
            </w:r>
            <w:r>
              <w:rPr>
                <w:rFonts w:hint="eastAsia" w:ascii="仿宋_GB2312" w:hAnsi="仿宋_GB2312" w:cs="仿宋_GB2312"/>
                <w:b w:val="0"/>
                <w:bCs/>
                <w:color w:val="000000"/>
                <w:kern w:val="30"/>
                <w:sz w:val="24"/>
                <w:szCs w:val="24"/>
                <w:lang w:val="en-US" w:eastAsia="zh-CN"/>
              </w:rPr>
              <w:t>.</w:t>
            </w:r>
            <w:r>
              <w:rPr>
                <w:rFonts w:hint="eastAsia" w:ascii="仿宋_GB2312" w:hAnsi="仿宋_GB2312" w:eastAsia="仿宋_GB2312" w:cs="仿宋_GB2312"/>
                <w:b w:val="0"/>
                <w:bCs/>
                <w:color w:val="000000"/>
                <w:kern w:val="30"/>
                <w:sz w:val="24"/>
                <w:szCs w:val="24"/>
              </w:rPr>
              <w:t>负责安排、落实辖区范围内地质灾害隐患及削坡建房点的排查、巡查、检查和监督管理工作，在重点防范期内加强对人口集中居住区、风景名胜区、工矿企业所在地、交通干线、水库、水电站和山塘等地质灾害隐患的排查、巡查和检查，发现险情及时处理和报告，做好监测记录。</w:t>
            </w:r>
          </w:p>
          <w:p w14:paraId="030F76B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440" w:lineRule="exact"/>
              <w:ind w:left="0" w:right="0"/>
              <w:jc w:val="left"/>
              <w:textAlignment w:val="auto"/>
              <w:rPr>
                <w:rFonts w:hint="default" w:ascii="仿宋_GB2312" w:hAnsi="仿宋_GB2312" w:eastAsia="仿宋_GB2312" w:cs="仿宋_GB2312"/>
                <w:b w:val="0"/>
                <w:bCs/>
                <w:color w:val="000000"/>
                <w:kern w:val="30"/>
                <w:sz w:val="24"/>
                <w:szCs w:val="24"/>
              </w:rPr>
            </w:pPr>
            <w:r>
              <w:rPr>
                <w:rFonts w:hint="eastAsia" w:ascii="仿宋_GB2312" w:hAnsi="仿宋_GB2312" w:eastAsia="仿宋_GB2312" w:cs="仿宋_GB2312"/>
                <w:b w:val="0"/>
                <w:bCs/>
                <w:color w:val="000000"/>
                <w:kern w:val="30"/>
                <w:sz w:val="24"/>
                <w:szCs w:val="24"/>
              </w:rPr>
              <w:t>2</w:t>
            </w:r>
            <w:r>
              <w:rPr>
                <w:rFonts w:hint="eastAsia" w:ascii="仿宋_GB2312" w:hAnsi="仿宋_GB2312" w:cs="仿宋_GB2312"/>
                <w:b w:val="0"/>
                <w:bCs/>
                <w:color w:val="000000"/>
                <w:kern w:val="30"/>
                <w:sz w:val="24"/>
                <w:szCs w:val="24"/>
                <w:lang w:val="en-US" w:eastAsia="zh-CN"/>
              </w:rPr>
              <w:t>.</w:t>
            </w:r>
            <w:r>
              <w:rPr>
                <w:rFonts w:hint="eastAsia" w:ascii="仿宋_GB2312" w:hAnsi="仿宋_GB2312" w:eastAsia="仿宋_GB2312" w:cs="仿宋_GB2312"/>
                <w:b w:val="0"/>
                <w:bCs/>
                <w:color w:val="000000"/>
                <w:kern w:val="30"/>
                <w:sz w:val="24"/>
                <w:szCs w:val="24"/>
              </w:rPr>
              <w:t>负责推进辖区范围内地质灾害的群测群防工作，建立健全群测群防网络体系和监测网络。</w:t>
            </w:r>
          </w:p>
          <w:p w14:paraId="10AB0E57">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440" w:lineRule="exact"/>
              <w:ind w:left="0" w:right="0"/>
              <w:jc w:val="left"/>
              <w:textAlignment w:val="auto"/>
              <w:rPr>
                <w:rFonts w:hint="default" w:ascii="仿宋_GB2312" w:hAnsi="仿宋_GB2312" w:eastAsia="仿宋_GB2312" w:cs="仿宋_GB2312"/>
                <w:b w:val="0"/>
                <w:bCs/>
                <w:color w:val="000000"/>
                <w:kern w:val="30"/>
                <w:sz w:val="24"/>
                <w:szCs w:val="24"/>
              </w:rPr>
            </w:pPr>
            <w:r>
              <w:rPr>
                <w:rFonts w:hint="eastAsia" w:ascii="仿宋_GB2312" w:hAnsi="仿宋_GB2312" w:eastAsia="仿宋_GB2312" w:cs="仿宋_GB2312"/>
                <w:b w:val="0"/>
                <w:bCs/>
                <w:color w:val="000000"/>
                <w:kern w:val="30"/>
                <w:sz w:val="24"/>
                <w:szCs w:val="24"/>
              </w:rPr>
              <w:t>3</w:t>
            </w:r>
            <w:r>
              <w:rPr>
                <w:rFonts w:hint="eastAsia" w:ascii="仿宋_GB2312" w:hAnsi="仿宋_GB2312" w:cs="仿宋_GB2312"/>
                <w:b w:val="0"/>
                <w:bCs/>
                <w:color w:val="000000"/>
                <w:kern w:val="30"/>
                <w:sz w:val="24"/>
                <w:szCs w:val="24"/>
                <w:lang w:val="en-US" w:eastAsia="zh-CN"/>
              </w:rPr>
              <w:t>.</w:t>
            </w:r>
            <w:r>
              <w:rPr>
                <w:rFonts w:hint="eastAsia" w:ascii="仿宋_GB2312" w:hAnsi="仿宋_GB2312" w:eastAsia="仿宋_GB2312" w:cs="仿宋_GB2312"/>
                <w:b w:val="0"/>
                <w:bCs/>
                <w:color w:val="000000"/>
                <w:kern w:val="30"/>
                <w:sz w:val="24"/>
                <w:szCs w:val="24"/>
              </w:rPr>
              <w:t>负责组织督促辖区范围内已经明确的地质灾害隐患点的监测工作。在地质灾害隐患点危险区设置明显的警示标识牌，明确防灾责任人和监测责任人，对地质灾害隐患点危险区群众发放的“防灾明白卡”和“避险明白卡”要及时到位。</w:t>
            </w:r>
          </w:p>
          <w:p w14:paraId="49D4EEB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440" w:lineRule="exact"/>
              <w:ind w:left="0" w:right="0"/>
              <w:jc w:val="left"/>
              <w:textAlignment w:val="auto"/>
              <w:rPr>
                <w:rFonts w:hint="default" w:ascii="仿宋_GB2312" w:hAnsi="仿宋_GB2312" w:eastAsia="仿宋_GB2312" w:cs="仿宋_GB2312"/>
                <w:b w:val="0"/>
                <w:bCs/>
                <w:color w:val="000000"/>
                <w:kern w:val="30"/>
                <w:sz w:val="24"/>
                <w:szCs w:val="24"/>
              </w:rPr>
            </w:pPr>
            <w:r>
              <w:rPr>
                <w:rFonts w:hint="eastAsia" w:ascii="仿宋_GB2312" w:hAnsi="仿宋_GB2312" w:eastAsia="仿宋_GB2312" w:cs="仿宋_GB2312"/>
                <w:b w:val="0"/>
                <w:bCs/>
                <w:color w:val="000000"/>
                <w:kern w:val="30"/>
                <w:sz w:val="24"/>
                <w:szCs w:val="24"/>
              </w:rPr>
              <w:t>4</w:t>
            </w:r>
            <w:r>
              <w:rPr>
                <w:rFonts w:hint="eastAsia" w:ascii="仿宋_GB2312" w:hAnsi="仿宋_GB2312" w:cs="仿宋_GB2312"/>
                <w:b w:val="0"/>
                <w:bCs/>
                <w:color w:val="000000"/>
                <w:kern w:val="30"/>
                <w:sz w:val="24"/>
                <w:szCs w:val="24"/>
                <w:lang w:val="en-US" w:eastAsia="zh-CN"/>
              </w:rPr>
              <w:t>.</w:t>
            </w:r>
            <w:r>
              <w:rPr>
                <w:rFonts w:hint="eastAsia" w:ascii="仿宋_GB2312" w:hAnsi="仿宋_GB2312" w:eastAsia="仿宋_GB2312" w:cs="仿宋_GB2312"/>
                <w:b w:val="0"/>
                <w:bCs/>
                <w:color w:val="000000"/>
                <w:kern w:val="30"/>
                <w:sz w:val="24"/>
                <w:szCs w:val="24"/>
              </w:rPr>
              <w:t>负责完成辖区内因地质灾害导致的危房调查、统计和上报工作。</w:t>
            </w:r>
          </w:p>
          <w:p w14:paraId="7EBC1F4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440" w:lineRule="exact"/>
              <w:ind w:left="0" w:right="0"/>
              <w:jc w:val="left"/>
              <w:textAlignment w:val="auto"/>
              <w:rPr>
                <w:rFonts w:hint="default" w:ascii="仿宋_GB2312" w:hAnsi="仿宋_GB2312" w:eastAsia="仿宋_GB2312" w:cs="仿宋_GB2312"/>
                <w:b w:val="0"/>
                <w:bCs/>
                <w:color w:val="000000"/>
                <w:kern w:val="30"/>
                <w:sz w:val="24"/>
                <w:szCs w:val="24"/>
              </w:rPr>
            </w:pPr>
            <w:r>
              <w:rPr>
                <w:rFonts w:hint="eastAsia" w:ascii="仿宋_GB2312" w:hAnsi="仿宋_GB2312" w:eastAsia="仿宋_GB2312" w:cs="仿宋_GB2312"/>
                <w:b w:val="0"/>
                <w:bCs/>
                <w:color w:val="000000"/>
                <w:kern w:val="30"/>
                <w:sz w:val="24"/>
                <w:szCs w:val="24"/>
              </w:rPr>
              <w:t>5</w:t>
            </w:r>
            <w:r>
              <w:rPr>
                <w:rFonts w:hint="eastAsia" w:ascii="仿宋_GB2312" w:hAnsi="仿宋_GB2312" w:cs="仿宋_GB2312"/>
                <w:b w:val="0"/>
                <w:bCs/>
                <w:color w:val="000000"/>
                <w:kern w:val="30"/>
                <w:sz w:val="24"/>
                <w:szCs w:val="24"/>
                <w:lang w:val="en-US" w:eastAsia="zh-CN"/>
              </w:rPr>
              <w:t>.</w:t>
            </w:r>
            <w:r>
              <w:rPr>
                <w:rFonts w:hint="eastAsia" w:ascii="仿宋_GB2312" w:hAnsi="仿宋_GB2312" w:eastAsia="仿宋_GB2312" w:cs="仿宋_GB2312"/>
                <w:b w:val="0"/>
                <w:bCs/>
                <w:color w:val="000000"/>
                <w:kern w:val="30"/>
                <w:sz w:val="24"/>
                <w:szCs w:val="24"/>
              </w:rPr>
              <w:t>地质灾害险情、灾情一旦发生，负责收集地质灾害发生的灾情、险情，按照《地质灾害报告制度》的要求，启动应急预案的，应当按照地质灾害应急预案的要求，立即启动相应级别的地质灾害应急预案，及时将灾（险）情向有关部门报告，迅速组织群众及其他人员撤离到安全地带，并进行妥善安置。情况紧急时，可以强行组织避灾疏散，努力减少人员伤亡和财产损失。</w:t>
            </w:r>
          </w:p>
          <w:p w14:paraId="70EAED7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440" w:lineRule="exact"/>
              <w:ind w:left="0" w:right="0"/>
              <w:jc w:val="left"/>
              <w:textAlignment w:val="auto"/>
              <w:rPr>
                <w:rFonts w:hint="default" w:ascii="仿宋_GB2312" w:hAnsi="仿宋_GB2312" w:eastAsia="仿宋_GB2312" w:cs="仿宋_GB2312"/>
                <w:b w:val="0"/>
                <w:bCs/>
                <w:color w:val="000000"/>
                <w:kern w:val="30"/>
                <w:sz w:val="24"/>
                <w:szCs w:val="24"/>
              </w:rPr>
            </w:pPr>
            <w:r>
              <w:rPr>
                <w:rFonts w:hint="eastAsia" w:ascii="仿宋_GB2312" w:hAnsi="仿宋_GB2312" w:eastAsia="仿宋_GB2312" w:cs="仿宋_GB2312"/>
                <w:b w:val="0"/>
                <w:bCs/>
                <w:color w:val="000000"/>
                <w:kern w:val="30"/>
                <w:sz w:val="24"/>
                <w:szCs w:val="24"/>
              </w:rPr>
              <w:t>6</w:t>
            </w:r>
            <w:r>
              <w:rPr>
                <w:rFonts w:hint="eastAsia" w:ascii="仿宋_GB2312" w:hAnsi="仿宋_GB2312" w:cs="仿宋_GB2312"/>
                <w:b w:val="0"/>
                <w:bCs/>
                <w:color w:val="000000"/>
                <w:kern w:val="30"/>
                <w:sz w:val="24"/>
                <w:szCs w:val="24"/>
                <w:lang w:val="en-US" w:eastAsia="zh-CN"/>
              </w:rPr>
              <w:t>.</w:t>
            </w:r>
            <w:r>
              <w:rPr>
                <w:rFonts w:hint="eastAsia" w:ascii="仿宋_GB2312" w:hAnsi="仿宋_GB2312" w:eastAsia="仿宋_GB2312" w:cs="仿宋_GB2312"/>
                <w:b w:val="0"/>
                <w:bCs/>
                <w:color w:val="000000"/>
                <w:kern w:val="30"/>
                <w:sz w:val="24"/>
                <w:szCs w:val="24"/>
              </w:rPr>
              <w:t>对本辖区地质灾害情况进行通报。</w:t>
            </w:r>
          </w:p>
          <w:p w14:paraId="05F5884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440" w:lineRule="exact"/>
              <w:ind w:left="0" w:right="0"/>
              <w:jc w:val="left"/>
              <w:textAlignment w:val="auto"/>
              <w:rPr>
                <w:rFonts w:hint="default" w:ascii="仿宋_GB2312" w:hAnsi="仿宋_GB2312" w:eastAsia="仿宋_GB2312" w:cs="仿宋_GB2312"/>
                <w:b w:val="0"/>
                <w:bCs/>
                <w:color w:val="000000"/>
                <w:kern w:val="30"/>
                <w:sz w:val="24"/>
                <w:szCs w:val="24"/>
              </w:rPr>
            </w:pPr>
            <w:r>
              <w:rPr>
                <w:rFonts w:hint="eastAsia" w:ascii="仿宋_GB2312" w:hAnsi="仿宋_GB2312" w:eastAsia="仿宋_GB2312" w:cs="仿宋_GB2312"/>
                <w:b w:val="0"/>
                <w:bCs/>
                <w:color w:val="000000"/>
                <w:kern w:val="30"/>
                <w:sz w:val="24"/>
                <w:szCs w:val="24"/>
              </w:rPr>
              <w:t>7</w:t>
            </w:r>
            <w:r>
              <w:rPr>
                <w:rFonts w:hint="eastAsia" w:ascii="仿宋_GB2312" w:hAnsi="仿宋_GB2312" w:cs="仿宋_GB2312"/>
                <w:b w:val="0"/>
                <w:bCs/>
                <w:color w:val="000000"/>
                <w:kern w:val="30"/>
                <w:sz w:val="24"/>
                <w:szCs w:val="24"/>
                <w:lang w:val="en-US" w:eastAsia="zh-CN"/>
              </w:rPr>
              <w:t>.</w:t>
            </w:r>
            <w:r>
              <w:rPr>
                <w:rFonts w:hint="eastAsia" w:ascii="仿宋_GB2312" w:hAnsi="仿宋_GB2312" w:eastAsia="仿宋_GB2312" w:cs="仿宋_GB2312"/>
                <w:b w:val="0"/>
                <w:bCs/>
                <w:color w:val="000000"/>
                <w:kern w:val="30"/>
                <w:sz w:val="24"/>
                <w:szCs w:val="24"/>
              </w:rPr>
              <w:t>编制年度地质灾害防治方案和防灾应急预案。</w:t>
            </w:r>
          </w:p>
          <w:p w14:paraId="400284E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440" w:lineRule="exact"/>
              <w:ind w:left="0" w:right="0"/>
              <w:jc w:val="left"/>
              <w:textAlignment w:val="auto"/>
              <w:rPr>
                <w:rFonts w:hint="default" w:ascii="仿宋_GB2312" w:hAnsi="仿宋_GB2312" w:eastAsia="仿宋_GB2312" w:cs="仿宋_GB2312"/>
                <w:b w:val="0"/>
                <w:bCs/>
                <w:sz w:val="24"/>
                <w:szCs w:val="24"/>
                <w:vertAlign w:val="baseline"/>
              </w:rPr>
            </w:pPr>
            <w:r>
              <w:rPr>
                <w:rFonts w:hint="eastAsia" w:ascii="仿宋_GB2312" w:hAnsi="仿宋_GB2312" w:eastAsia="仿宋_GB2312" w:cs="仿宋_GB2312"/>
                <w:b w:val="0"/>
                <w:bCs/>
                <w:color w:val="000000"/>
                <w:kern w:val="30"/>
                <w:sz w:val="24"/>
                <w:szCs w:val="24"/>
              </w:rPr>
              <w:t>8</w:t>
            </w:r>
            <w:r>
              <w:rPr>
                <w:rFonts w:hint="eastAsia" w:ascii="仿宋_GB2312" w:hAnsi="仿宋_GB2312" w:cs="仿宋_GB2312"/>
                <w:b w:val="0"/>
                <w:bCs/>
                <w:color w:val="000000"/>
                <w:kern w:val="30"/>
                <w:sz w:val="24"/>
                <w:szCs w:val="24"/>
                <w:lang w:val="en-US" w:eastAsia="zh-CN"/>
              </w:rPr>
              <w:t>.</w:t>
            </w:r>
            <w:r>
              <w:rPr>
                <w:rFonts w:hint="eastAsia" w:ascii="仿宋_GB2312" w:hAnsi="仿宋_GB2312" w:eastAsia="仿宋_GB2312" w:cs="仿宋_GB2312"/>
                <w:b w:val="0"/>
                <w:bCs/>
                <w:color w:val="000000"/>
                <w:kern w:val="30"/>
                <w:sz w:val="24"/>
                <w:szCs w:val="24"/>
              </w:rPr>
              <w:t>将地质灾害的防治经费纳入财政预算，落实地质灾害防治专项资金。</w:t>
            </w:r>
          </w:p>
        </w:tc>
      </w:tr>
      <w:tr w14:paraId="5A43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0F75F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市自然资源局</w:t>
            </w:r>
          </w:p>
        </w:tc>
        <w:tc>
          <w:tcPr>
            <w:tcW w:w="12845" w:type="dxa"/>
            <w:vAlign w:val="center"/>
          </w:tcPr>
          <w:p w14:paraId="315B1B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负责全市地质灾害防</w:t>
            </w:r>
            <w:r>
              <w:rPr>
                <w:rFonts w:hint="eastAsia" w:ascii="仿宋_GB2312" w:hAnsi="仿宋_GB2312" w:cs="仿宋_GB2312"/>
                <w:b w:val="0"/>
                <w:bCs/>
                <w:color w:val="000000"/>
                <w:kern w:val="30"/>
                <w:sz w:val="24"/>
                <w:szCs w:val="24"/>
                <w:lang w:val="en-US" w:eastAsia="zh-CN" w:bidi="ar-SA"/>
              </w:rPr>
              <w:t>治</w:t>
            </w:r>
            <w:r>
              <w:rPr>
                <w:rFonts w:hint="eastAsia" w:ascii="仿宋_GB2312" w:hAnsi="仿宋_GB2312" w:eastAsia="仿宋_GB2312" w:cs="仿宋_GB2312"/>
                <w:b w:val="0"/>
                <w:bCs/>
                <w:color w:val="000000"/>
                <w:kern w:val="30"/>
                <w:sz w:val="24"/>
                <w:szCs w:val="24"/>
                <w:lang w:val="en-US" w:eastAsia="zh-CN" w:bidi="ar-SA"/>
              </w:rPr>
              <w:t>工作。组织协调开展因自然因素引发的地质灾害安全隐患的排查、巡查、检查、监测和监管，建立隐患点台账，督促落实防灾措施和责任人等群测群防工作。</w:t>
            </w:r>
          </w:p>
          <w:p w14:paraId="35CC9D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承担地质灾害的有关日常工作；推进地质灾害预报预警体系的建立、落实健全应急值守制度和灾情速报制度，按有关规定报告地质灾害灾情</w:t>
            </w:r>
            <w:r>
              <w:rPr>
                <w:rFonts w:hint="eastAsia" w:ascii="仿宋_GB2312" w:hAnsi="仿宋_GB2312" w:cs="仿宋_GB2312"/>
                <w:b w:val="0"/>
                <w:bCs/>
                <w:color w:val="000000"/>
                <w:kern w:val="30"/>
                <w:sz w:val="24"/>
                <w:szCs w:val="24"/>
                <w:lang w:val="en-US" w:eastAsia="zh-CN" w:bidi="ar-SA"/>
              </w:rPr>
              <w:t>和</w:t>
            </w:r>
            <w:r>
              <w:rPr>
                <w:rFonts w:hint="eastAsia" w:ascii="仿宋_GB2312" w:hAnsi="仿宋_GB2312" w:eastAsia="仿宋_GB2312" w:cs="仿宋_GB2312"/>
                <w:b w:val="0"/>
                <w:bCs/>
                <w:color w:val="000000"/>
                <w:kern w:val="30"/>
                <w:sz w:val="24"/>
                <w:szCs w:val="24"/>
                <w:lang w:val="en-US" w:eastAsia="zh-CN" w:bidi="ar-SA"/>
              </w:rPr>
              <w:t>开展应急调查。</w:t>
            </w:r>
          </w:p>
          <w:p w14:paraId="4E2D1B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3</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负责收集、分析灾情信息，会同市气象部门发布地质灾害预报预警信息；参与市有关</w:t>
            </w:r>
            <w:r>
              <w:rPr>
                <w:rFonts w:hint="eastAsia" w:ascii="仿宋_GB2312" w:hAnsi="仿宋_GB2312" w:cs="仿宋_GB2312"/>
                <w:b w:val="0"/>
                <w:bCs/>
                <w:color w:val="000000"/>
                <w:kern w:val="30"/>
                <w:sz w:val="24"/>
                <w:szCs w:val="24"/>
                <w:lang w:val="en-US" w:eastAsia="zh-CN" w:bidi="ar-SA"/>
              </w:rPr>
              <w:t>单位</w:t>
            </w:r>
            <w:r>
              <w:rPr>
                <w:rFonts w:hint="eastAsia" w:ascii="仿宋_GB2312" w:hAnsi="仿宋_GB2312" w:eastAsia="仿宋_GB2312" w:cs="仿宋_GB2312"/>
                <w:b w:val="0"/>
                <w:bCs/>
                <w:color w:val="000000"/>
                <w:kern w:val="30"/>
                <w:sz w:val="24"/>
                <w:szCs w:val="24"/>
                <w:lang w:val="en-US" w:eastAsia="zh-CN" w:bidi="ar-SA"/>
              </w:rPr>
              <w:t>组织的地质灾害抢险、救助工作，组织专家进行地质灾害防范，提出防治措施。</w:t>
            </w:r>
          </w:p>
          <w:p w14:paraId="6D0975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4</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会同相关责任</w:t>
            </w:r>
            <w:r>
              <w:rPr>
                <w:rFonts w:hint="eastAsia" w:ascii="仿宋_GB2312" w:hAnsi="仿宋_GB2312" w:cs="仿宋_GB2312"/>
                <w:b w:val="0"/>
                <w:bCs/>
                <w:color w:val="000000"/>
                <w:kern w:val="30"/>
                <w:sz w:val="24"/>
                <w:szCs w:val="24"/>
                <w:lang w:val="en-US" w:eastAsia="zh-CN" w:bidi="ar-SA"/>
              </w:rPr>
              <w:t>单位</w:t>
            </w:r>
            <w:r>
              <w:rPr>
                <w:rFonts w:hint="eastAsia" w:ascii="仿宋_GB2312" w:hAnsi="仿宋_GB2312" w:eastAsia="仿宋_GB2312" w:cs="仿宋_GB2312"/>
                <w:b w:val="0"/>
                <w:bCs/>
                <w:color w:val="000000"/>
                <w:kern w:val="30"/>
                <w:sz w:val="24"/>
                <w:szCs w:val="24"/>
                <w:lang w:val="en-US" w:eastAsia="zh-CN" w:bidi="ar-SA"/>
              </w:rPr>
              <w:t>开展地质灾害调查</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组织地质灾害险情的动态监测。</w:t>
            </w:r>
          </w:p>
          <w:p w14:paraId="5D08DA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5</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组织协调因自然因素造成的地质灾害项目治理申报、竣工验收及治理项目工程后期管理和维护。</w:t>
            </w:r>
          </w:p>
          <w:p w14:paraId="7FAADE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6</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组织建立地质灾害群专结合的监测体系和建设群测群防网络，负责及督促全市地质灾害防治知识宣传、培训、应急演练。</w:t>
            </w:r>
          </w:p>
          <w:p w14:paraId="248ABB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7</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在编制、审核国土空间规划时，充分考虑地质灾害防治的要求，将地质灾害防治规划作为其组成部分，从源头上避免和减轻因地质灾害造成的损失。</w:t>
            </w:r>
          </w:p>
        </w:tc>
      </w:tr>
      <w:tr w14:paraId="45C5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620BB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市财政局</w:t>
            </w:r>
          </w:p>
        </w:tc>
        <w:tc>
          <w:tcPr>
            <w:tcW w:w="12845" w:type="dxa"/>
            <w:vAlign w:val="center"/>
          </w:tcPr>
          <w:p w14:paraId="0B4F68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负责按国家和省、市有关规定安排地质灾害防治专项资金，做好财政专项预算。</w:t>
            </w:r>
          </w:p>
          <w:p w14:paraId="7463BE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协助自然资源</w:t>
            </w:r>
            <w:r>
              <w:rPr>
                <w:rFonts w:hint="eastAsia" w:ascii="仿宋_GB2312" w:hAnsi="仿宋_GB2312" w:cs="仿宋_GB2312"/>
                <w:b w:val="0"/>
                <w:bCs/>
                <w:color w:val="000000"/>
                <w:kern w:val="30"/>
                <w:sz w:val="24"/>
                <w:szCs w:val="24"/>
                <w:lang w:val="en-US" w:eastAsia="zh-CN" w:bidi="ar-SA"/>
              </w:rPr>
              <w:t>主管</w:t>
            </w:r>
            <w:r>
              <w:rPr>
                <w:rFonts w:hint="eastAsia" w:ascii="仿宋_GB2312" w:hAnsi="仿宋_GB2312" w:eastAsia="仿宋_GB2312" w:cs="仿宋_GB2312"/>
                <w:b w:val="0"/>
                <w:bCs/>
                <w:color w:val="000000"/>
                <w:kern w:val="30"/>
                <w:sz w:val="24"/>
                <w:szCs w:val="24"/>
                <w:lang w:val="en-US" w:eastAsia="zh-CN" w:bidi="ar-SA"/>
              </w:rPr>
              <w:t>部门做好中央地质灾害防治资金申报工作和分配下达省级地质灾害防治资金工作。</w:t>
            </w:r>
          </w:p>
          <w:p w14:paraId="1D0901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3</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会同自然资源</w:t>
            </w:r>
            <w:r>
              <w:rPr>
                <w:rFonts w:hint="eastAsia" w:ascii="仿宋_GB2312" w:hAnsi="仿宋_GB2312" w:cs="仿宋_GB2312"/>
                <w:b w:val="0"/>
                <w:bCs/>
                <w:color w:val="000000"/>
                <w:kern w:val="30"/>
                <w:sz w:val="24"/>
                <w:szCs w:val="24"/>
                <w:lang w:val="en-US" w:eastAsia="zh-CN" w:bidi="ar-SA"/>
              </w:rPr>
              <w:t>主管</w:t>
            </w:r>
            <w:r>
              <w:rPr>
                <w:rFonts w:hint="eastAsia" w:ascii="仿宋_GB2312" w:hAnsi="仿宋_GB2312" w:eastAsia="仿宋_GB2312" w:cs="仿宋_GB2312"/>
                <w:b w:val="0"/>
                <w:bCs/>
                <w:color w:val="000000"/>
                <w:kern w:val="30"/>
                <w:sz w:val="24"/>
                <w:szCs w:val="24"/>
                <w:lang w:val="en-US" w:eastAsia="zh-CN" w:bidi="ar-SA"/>
              </w:rPr>
              <w:t>部门</w:t>
            </w:r>
            <w:r>
              <w:rPr>
                <w:rFonts w:hint="eastAsia" w:ascii="仿宋_GB2312" w:hAnsi="仿宋_GB2312" w:cs="仿宋_GB2312"/>
                <w:b w:val="0"/>
                <w:bCs/>
                <w:color w:val="000000"/>
                <w:kern w:val="30"/>
                <w:sz w:val="24"/>
                <w:szCs w:val="24"/>
                <w:lang w:val="en-US" w:eastAsia="zh-CN" w:bidi="ar-SA"/>
              </w:rPr>
              <w:t>监管</w:t>
            </w:r>
            <w:r>
              <w:rPr>
                <w:rFonts w:hint="eastAsia" w:ascii="仿宋_GB2312" w:hAnsi="仿宋_GB2312" w:eastAsia="仿宋_GB2312" w:cs="仿宋_GB2312"/>
                <w:b w:val="0"/>
                <w:bCs/>
                <w:color w:val="000000"/>
                <w:kern w:val="30"/>
                <w:sz w:val="24"/>
                <w:szCs w:val="24"/>
                <w:lang w:val="en-US" w:eastAsia="zh-CN" w:bidi="ar-SA"/>
              </w:rPr>
              <w:t>地质灾害项目专项经费的使用。</w:t>
            </w:r>
          </w:p>
        </w:tc>
      </w:tr>
      <w:tr w14:paraId="7D5F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1AA79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市公安局</w:t>
            </w:r>
          </w:p>
        </w:tc>
        <w:tc>
          <w:tcPr>
            <w:tcW w:w="12845" w:type="dxa"/>
            <w:vAlign w:val="center"/>
          </w:tcPr>
          <w:p w14:paraId="40A6BF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负责组织、指挥公安机关维护灾区社会治安，参与突发性地质灾害抢险救灾，积极预防和妥善处置因地质灾害引发的群体性治安事件，做好进出灾区道路和灾区内交通疏导及管制工作。</w:t>
            </w:r>
          </w:p>
          <w:p w14:paraId="13ADA2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协同有关</w:t>
            </w:r>
            <w:r>
              <w:rPr>
                <w:rFonts w:hint="eastAsia" w:ascii="仿宋_GB2312" w:hAnsi="仿宋_GB2312" w:cs="仿宋_GB2312"/>
                <w:b w:val="0"/>
                <w:bCs/>
                <w:color w:val="000000"/>
                <w:kern w:val="30"/>
                <w:sz w:val="24"/>
                <w:szCs w:val="24"/>
                <w:lang w:val="en-US" w:eastAsia="zh-CN" w:bidi="ar-SA"/>
              </w:rPr>
              <w:t>单位</w:t>
            </w:r>
            <w:r>
              <w:rPr>
                <w:rFonts w:hint="eastAsia" w:ascii="仿宋_GB2312" w:hAnsi="仿宋_GB2312" w:eastAsia="仿宋_GB2312" w:cs="仿宋_GB2312"/>
                <w:b w:val="0"/>
                <w:bCs/>
                <w:color w:val="000000"/>
                <w:kern w:val="30"/>
                <w:sz w:val="24"/>
                <w:szCs w:val="24"/>
                <w:lang w:val="en-US" w:eastAsia="zh-CN" w:bidi="ar-SA"/>
              </w:rPr>
              <w:t>做好地质灾害区域受灾群众的转移和临时安置工作。</w:t>
            </w:r>
          </w:p>
        </w:tc>
      </w:tr>
      <w:tr w14:paraId="41D5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53EF6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市应急管理局</w:t>
            </w:r>
          </w:p>
        </w:tc>
        <w:tc>
          <w:tcPr>
            <w:tcW w:w="12845" w:type="dxa"/>
            <w:vAlign w:val="center"/>
          </w:tcPr>
          <w:p w14:paraId="2D2CA0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指导协调全市各类地质灾害救援，组织、协调较大以上地质灾害救援工作。</w:t>
            </w:r>
          </w:p>
          <w:p w14:paraId="0CF685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统筹组织调运救灾物资，协助灾区所在县（区）人民政府（管委会）及时设置避险场所和救灾物资供应点，组织转移、安置和救助受灾群众。</w:t>
            </w:r>
          </w:p>
          <w:p w14:paraId="139342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3</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核定和报告灾情，及时向市地质灾害应急指挥部报告受灾群众救助和安置情况。</w:t>
            </w:r>
          </w:p>
          <w:p w14:paraId="414B7A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4</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监督和管理救灾款物</w:t>
            </w:r>
            <w:r>
              <w:rPr>
                <w:rFonts w:hint="eastAsia" w:ascii="仿宋_GB2312" w:hAnsi="仿宋_GB2312" w:cs="仿宋_GB2312"/>
                <w:b w:val="0"/>
                <w:bCs/>
                <w:color w:val="000000"/>
                <w:kern w:val="30"/>
                <w:sz w:val="24"/>
                <w:szCs w:val="24"/>
                <w:lang w:val="en-US" w:eastAsia="zh-CN" w:bidi="ar-SA"/>
              </w:rPr>
              <w:t>的</w:t>
            </w:r>
            <w:r>
              <w:rPr>
                <w:rFonts w:hint="eastAsia" w:ascii="仿宋_GB2312" w:hAnsi="仿宋_GB2312" w:eastAsia="仿宋_GB2312" w:cs="仿宋_GB2312"/>
                <w:b w:val="0"/>
                <w:bCs/>
                <w:color w:val="000000"/>
                <w:kern w:val="30"/>
                <w:sz w:val="24"/>
                <w:szCs w:val="24"/>
                <w:lang w:val="en-US" w:eastAsia="zh-CN" w:bidi="ar-SA"/>
              </w:rPr>
              <w:t>分配、发放工作，做好地质灾害救灾经费项目的申报工作。</w:t>
            </w:r>
          </w:p>
        </w:tc>
      </w:tr>
      <w:tr w14:paraId="1713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17770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市住房城乡建设局</w:t>
            </w:r>
          </w:p>
        </w:tc>
        <w:tc>
          <w:tcPr>
            <w:tcW w:w="12845" w:type="dxa"/>
            <w:vAlign w:val="center"/>
          </w:tcPr>
          <w:p w14:paraId="7780D6D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督促指导当地政府开展农村削坡建房风险点的排查及整治，建立隐患点台账，督促落实整治措施和责任人等。</w:t>
            </w:r>
          </w:p>
          <w:p w14:paraId="6AB403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指导建设单位落实重大建设项目的地质灾害危险性评估制度并实施配套防治工程。一旦发生险情或灾情，及时赶赴现场，配合相关部门抢险救灾。</w:t>
            </w:r>
          </w:p>
        </w:tc>
      </w:tr>
      <w:tr w14:paraId="072F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32798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市发展改革局</w:t>
            </w:r>
          </w:p>
        </w:tc>
        <w:tc>
          <w:tcPr>
            <w:tcW w:w="12845" w:type="dxa"/>
            <w:vAlign w:val="center"/>
          </w:tcPr>
          <w:p w14:paraId="430740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负责地质灾害隐患点治理项目的立项审批</w:t>
            </w:r>
            <w:r>
              <w:rPr>
                <w:rFonts w:hint="eastAsia" w:ascii="仿宋_GB2312" w:hAnsi="仿宋_GB2312" w:cs="仿宋_GB2312"/>
                <w:b w:val="0"/>
                <w:bCs/>
                <w:color w:val="000000"/>
                <w:kern w:val="30"/>
                <w:sz w:val="24"/>
                <w:szCs w:val="24"/>
                <w:lang w:val="en-US" w:eastAsia="zh-CN" w:bidi="ar-SA"/>
              </w:rPr>
              <w:t>。</w:t>
            </w:r>
          </w:p>
          <w:p w14:paraId="67E7A4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可行性研究报告未包含地质灾害危险性评估结果的，不得批准其可行性研究报告。</w:t>
            </w:r>
          </w:p>
        </w:tc>
      </w:tr>
      <w:tr w14:paraId="7769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430DD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市生态环境局</w:t>
            </w:r>
          </w:p>
        </w:tc>
        <w:tc>
          <w:tcPr>
            <w:tcW w:w="12845" w:type="dxa"/>
            <w:vAlign w:val="center"/>
          </w:tcPr>
          <w:p w14:paraId="141E97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在拟订并组织实施全市环境保护规划和计划时，把地质灾害影响作为重要内容。</w:t>
            </w:r>
          </w:p>
          <w:p w14:paraId="3E108F0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cs="仿宋_GB2312"/>
                <w:b w:val="0"/>
                <w:bCs/>
                <w:color w:val="000000"/>
                <w:kern w:val="30"/>
                <w:sz w:val="24"/>
                <w:szCs w:val="24"/>
                <w:lang w:val="en-US" w:eastAsia="zh-CN" w:bidi="ar-SA"/>
              </w:rPr>
              <w:t>2.</w:t>
            </w:r>
            <w:r>
              <w:rPr>
                <w:rFonts w:hint="eastAsia" w:ascii="仿宋_GB2312" w:hAnsi="仿宋_GB2312" w:eastAsia="仿宋_GB2312" w:cs="仿宋_GB2312"/>
                <w:b w:val="0"/>
                <w:bCs/>
                <w:color w:val="000000"/>
                <w:kern w:val="30"/>
                <w:sz w:val="24"/>
                <w:szCs w:val="24"/>
                <w:lang w:val="en-US" w:eastAsia="zh-CN" w:bidi="ar-SA"/>
              </w:rPr>
              <w:t>参与、协助有关</w:t>
            </w:r>
            <w:r>
              <w:rPr>
                <w:rFonts w:hint="eastAsia" w:ascii="仿宋_GB2312" w:hAnsi="仿宋_GB2312" w:cs="仿宋_GB2312"/>
                <w:b w:val="0"/>
                <w:bCs/>
                <w:color w:val="000000"/>
                <w:kern w:val="30"/>
                <w:sz w:val="24"/>
                <w:szCs w:val="24"/>
                <w:lang w:val="en-US" w:eastAsia="zh-CN" w:bidi="ar-SA"/>
              </w:rPr>
              <w:t>单位</w:t>
            </w:r>
            <w:r>
              <w:rPr>
                <w:rFonts w:hint="eastAsia" w:ascii="仿宋_GB2312" w:hAnsi="仿宋_GB2312" w:eastAsia="仿宋_GB2312" w:cs="仿宋_GB2312"/>
                <w:b w:val="0"/>
                <w:bCs/>
                <w:color w:val="000000"/>
                <w:kern w:val="30"/>
                <w:sz w:val="24"/>
                <w:szCs w:val="24"/>
                <w:lang w:val="en-US" w:eastAsia="zh-CN" w:bidi="ar-SA"/>
              </w:rPr>
              <w:t>调查因地质灾害造成的生态环境破坏事件。</w:t>
            </w:r>
          </w:p>
        </w:tc>
      </w:tr>
      <w:tr w14:paraId="4921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50152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市水务局</w:t>
            </w:r>
          </w:p>
        </w:tc>
        <w:tc>
          <w:tcPr>
            <w:tcW w:w="12845" w:type="dxa"/>
            <w:vAlign w:val="center"/>
          </w:tcPr>
          <w:p w14:paraId="75FF54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督促组织对山塘水库、水电站地质灾害隐患的排查、巡查、检查、监测。落实重要水利设施地质灾害隐患点防灾预案的编制，开展地质灾害隐患的群测群防工作。</w:t>
            </w:r>
          </w:p>
          <w:p w14:paraId="68CF83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督促相关单位落实水利工程地质灾害点的防灾责任人、监测责任人，在地质灾害危险区设立明显的警示标识，督促责任人及时治理灾害隐患。</w:t>
            </w:r>
          </w:p>
          <w:p w14:paraId="647B4F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3</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督促项目业主落实水利工程项目设计、建设中的地质灾害危险性评估和相应治理方案，并将防治效果纳入工程验收和评价工作。</w:t>
            </w:r>
          </w:p>
        </w:tc>
      </w:tr>
      <w:tr w14:paraId="78BB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4341E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市教育局</w:t>
            </w:r>
          </w:p>
        </w:tc>
        <w:tc>
          <w:tcPr>
            <w:tcW w:w="12845" w:type="dxa"/>
            <w:vAlign w:val="center"/>
          </w:tcPr>
          <w:p w14:paraId="5A137F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组织指导和督促县（区）教育</w:t>
            </w:r>
            <w:r>
              <w:rPr>
                <w:rFonts w:hint="eastAsia" w:ascii="仿宋_GB2312" w:hAnsi="仿宋_GB2312" w:cs="仿宋_GB2312"/>
                <w:b w:val="0"/>
                <w:bCs/>
                <w:color w:val="000000"/>
                <w:kern w:val="30"/>
                <w:sz w:val="24"/>
                <w:szCs w:val="24"/>
                <w:lang w:val="en-US" w:eastAsia="zh-CN" w:bidi="ar-SA"/>
              </w:rPr>
              <w:t>主管</w:t>
            </w:r>
            <w:r>
              <w:rPr>
                <w:rFonts w:hint="eastAsia" w:ascii="仿宋_GB2312" w:hAnsi="仿宋_GB2312" w:eastAsia="仿宋_GB2312" w:cs="仿宋_GB2312"/>
                <w:b w:val="0"/>
                <w:bCs/>
                <w:color w:val="000000"/>
                <w:kern w:val="30"/>
                <w:sz w:val="24"/>
                <w:szCs w:val="24"/>
                <w:lang w:val="en-US" w:eastAsia="zh-CN" w:bidi="ar-SA"/>
              </w:rPr>
              <w:t>部门和市直学校对危及学校安全的地质灾害（含建设活动中引发的地质灾害）进行排查、巡查、检查和监管，并按照有关规定及时做好学校范围内地质灾害的报告工作。</w:t>
            </w:r>
          </w:p>
          <w:p w14:paraId="4121BB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组织指导和督促县（区）教育</w:t>
            </w:r>
            <w:r>
              <w:rPr>
                <w:rFonts w:hint="eastAsia" w:ascii="仿宋_GB2312" w:hAnsi="仿宋_GB2312" w:cs="仿宋_GB2312"/>
                <w:b w:val="0"/>
                <w:bCs/>
                <w:color w:val="000000"/>
                <w:kern w:val="30"/>
                <w:sz w:val="24"/>
                <w:szCs w:val="24"/>
                <w:lang w:val="en-US" w:eastAsia="zh-CN" w:bidi="ar-SA"/>
              </w:rPr>
              <w:t>主管</w:t>
            </w:r>
            <w:r>
              <w:rPr>
                <w:rFonts w:hint="eastAsia" w:ascii="仿宋_GB2312" w:hAnsi="仿宋_GB2312" w:eastAsia="仿宋_GB2312" w:cs="仿宋_GB2312"/>
                <w:b w:val="0"/>
                <w:bCs/>
                <w:color w:val="000000"/>
                <w:kern w:val="30"/>
                <w:sz w:val="24"/>
                <w:szCs w:val="24"/>
                <w:lang w:val="en-US" w:eastAsia="zh-CN" w:bidi="ar-SA"/>
              </w:rPr>
              <w:t>部门和市直学校按规定配合职能部门做好危及学校安全的地质灾害治理工作。</w:t>
            </w:r>
          </w:p>
          <w:p w14:paraId="1EBEB4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3</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指导和督促县（区）教育</w:t>
            </w:r>
            <w:r>
              <w:rPr>
                <w:rFonts w:hint="eastAsia" w:ascii="仿宋_GB2312" w:hAnsi="仿宋_GB2312" w:cs="仿宋_GB2312"/>
                <w:b w:val="0"/>
                <w:bCs/>
                <w:color w:val="000000"/>
                <w:kern w:val="30"/>
                <w:sz w:val="24"/>
                <w:szCs w:val="24"/>
                <w:lang w:val="en-US" w:eastAsia="zh-CN" w:bidi="ar-SA"/>
              </w:rPr>
              <w:t>主管</w:t>
            </w:r>
            <w:r>
              <w:rPr>
                <w:rFonts w:hint="eastAsia" w:ascii="仿宋_GB2312" w:hAnsi="仿宋_GB2312" w:eastAsia="仿宋_GB2312" w:cs="仿宋_GB2312"/>
                <w:b w:val="0"/>
                <w:bCs/>
                <w:color w:val="000000"/>
                <w:kern w:val="30"/>
                <w:sz w:val="24"/>
                <w:szCs w:val="24"/>
                <w:lang w:val="en-US" w:eastAsia="zh-CN" w:bidi="ar-SA"/>
              </w:rPr>
              <w:t>部门和市直学校开展校区内地质灾害隐患点的群测群防工作，督促责任单位在地质灾害隐患点危险区设立明显的警示标识，落实防灾责任人、监测责任人</w:t>
            </w:r>
            <w:r>
              <w:rPr>
                <w:rFonts w:hint="eastAsia" w:ascii="仿宋_GB2312" w:hAnsi="仿宋_GB2312" w:cs="仿宋_GB2312"/>
                <w:b w:val="0"/>
                <w:bCs/>
                <w:color w:val="000000"/>
                <w:kern w:val="30"/>
                <w:sz w:val="24"/>
                <w:szCs w:val="24"/>
                <w:lang w:val="en-US" w:eastAsia="zh-CN" w:bidi="ar-SA"/>
              </w:rPr>
              <w:t>和</w:t>
            </w:r>
            <w:r>
              <w:rPr>
                <w:rFonts w:hint="eastAsia" w:ascii="仿宋_GB2312" w:hAnsi="仿宋_GB2312" w:eastAsia="仿宋_GB2312" w:cs="仿宋_GB2312"/>
                <w:b w:val="0"/>
                <w:bCs/>
                <w:color w:val="000000"/>
                <w:kern w:val="30"/>
                <w:sz w:val="24"/>
                <w:szCs w:val="24"/>
                <w:lang w:val="en-US" w:eastAsia="zh-CN" w:bidi="ar-SA"/>
              </w:rPr>
              <w:t>应急预案。</w:t>
            </w:r>
          </w:p>
          <w:p w14:paraId="7579E5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4</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组织指导或督促县（区）教育</w:t>
            </w:r>
            <w:r>
              <w:rPr>
                <w:rFonts w:hint="eastAsia" w:ascii="仿宋_GB2312" w:hAnsi="仿宋_GB2312" w:cs="仿宋_GB2312"/>
                <w:b w:val="0"/>
                <w:bCs/>
                <w:color w:val="000000"/>
                <w:kern w:val="30"/>
                <w:sz w:val="24"/>
                <w:szCs w:val="24"/>
                <w:lang w:val="en-US" w:eastAsia="zh-CN" w:bidi="ar-SA"/>
              </w:rPr>
              <w:t>主管</w:t>
            </w:r>
            <w:r>
              <w:rPr>
                <w:rFonts w:hint="eastAsia" w:ascii="仿宋_GB2312" w:hAnsi="仿宋_GB2312" w:eastAsia="仿宋_GB2312" w:cs="仿宋_GB2312"/>
                <w:b w:val="0"/>
                <w:bCs/>
                <w:color w:val="000000"/>
                <w:kern w:val="30"/>
                <w:sz w:val="24"/>
                <w:szCs w:val="24"/>
                <w:lang w:val="en-US" w:eastAsia="zh-CN" w:bidi="ar-SA"/>
              </w:rPr>
              <w:t>部门和市直学校督促责任单位负责的新建学校项目开展地质灾害危险性评估，经评估认为可能引发地质灾害的建设项目，要依法落实与主体工程建设配套的地质灾害治理工程。</w:t>
            </w:r>
          </w:p>
          <w:p w14:paraId="16C0E8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5</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组织指导和督促县（区）教育</w:t>
            </w:r>
            <w:r>
              <w:rPr>
                <w:rFonts w:hint="eastAsia" w:ascii="仿宋_GB2312" w:hAnsi="仿宋_GB2312" w:cs="仿宋_GB2312"/>
                <w:b w:val="0"/>
                <w:bCs/>
                <w:color w:val="000000"/>
                <w:kern w:val="30"/>
                <w:sz w:val="24"/>
                <w:szCs w:val="24"/>
                <w:lang w:val="en-US" w:eastAsia="zh-CN" w:bidi="ar-SA"/>
              </w:rPr>
              <w:t>主管</w:t>
            </w:r>
            <w:r>
              <w:rPr>
                <w:rFonts w:hint="eastAsia" w:ascii="仿宋_GB2312" w:hAnsi="仿宋_GB2312" w:eastAsia="仿宋_GB2312" w:cs="仿宋_GB2312"/>
                <w:b w:val="0"/>
                <w:bCs/>
                <w:color w:val="000000"/>
                <w:kern w:val="30"/>
                <w:sz w:val="24"/>
                <w:szCs w:val="24"/>
                <w:lang w:val="en-US" w:eastAsia="zh-CN" w:bidi="ar-SA"/>
              </w:rPr>
              <w:t>部门和市直学校对师生</w:t>
            </w:r>
            <w:r>
              <w:rPr>
                <w:rFonts w:hint="eastAsia" w:ascii="仿宋_GB2312" w:hAnsi="仿宋_GB2312" w:cs="仿宋_GB2312"/>
                <w:b w:val="0"/>
                <w:bCs/>
                <w:color w:val="000000"/>
                <w:kern w:val="30"/>
                <w:sz w:val="24"/>
                <w:szCs w:val="24"/>
                <w:lang w:val="en-US" w:eastAsia="zh-CN" w:bidi="ar-SA"/>
              </w:rPr>
              <w:t>开展</w:t>
            </w:r>
            <w:r>
              <w:rPr>
                <w:rFonts w:hint="eastAsia" w:ascii="仿宋_GB2312" w:hAnsi="仿宋_GB2312" w:eastAsia="仿宋_GB2312" w:cs="仿宋_GB2312"/>
                <w:b w:val="0"/>
                <w:bCs/>
                <w:color w:val="000000"/>
                <w:kern w:val="30"/>
                <w:sz w:val="24"/>
                <w:szCs w:val="24"/>
                <w:lang w:val="en-US" w:eastAsia="zh-CN" w:bidi="ar-SA"/>
              </w:rPr>
              <w:t>地质灾害知识的宣传培训工作，参与配合地质灾害应急演练。</w:t>
            </w:r>
          </w:p>
          <w:p w14:paraId="6BF92F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6</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组织指导、督促县（区）教育</w:t>
            </w:r>
            <w:r>
              <w:rPr>
                <w:rFonts w:hint="eastAsia" w:ascii="仿宋_GB2312" w:hAnsi="仿宋_GB2312" w:cs="仿宋_GB2312"/>
                <w:b w:val="0"/>
                <w:bCs/>
                <w:color w:val="000000"/>
                <w:kern w:val="30"/>
                <w:sz w:val="24"/>
                <w:szCs w:val="24"/>
                <w:lang w:val="en-US" w:eastAsia="zh-CN" w:bidi="ar-SA"/>
              </w:rPr>
              <w:t>主管</w:t>
            </w:r>
            <w:r>
              <w:rPr>
                <w:rFonts w:hint="eastAsia" w:ascii="仿宋_GB2312" w:hAnsi="仿宋_GB2312" w:eastAsia="仿宋_GB2312" w:cs="仿宋_GB2312"/>
                <w:b w:val="0"/>
                <w:bCs/>
                <w:color w:val="000000"/>
                <w:kern w:val="30"/>
                <w:sz w:val="24"/>
                <w:szCs w:val="24"/>
                <w:lang w:val="en-US" w:eastAsia="zh-CN" w:bidi="ar-SA"/>
              </w:rPr>
              <w:t>部门和市直学校做好学校范围内地质灾害事件的报告工作，配合职能部门做好调查处理工作。</w:t>
            </w:r>
          </w:p>
        </w:tc>
      </w:tr>
      <w:tr w14:paraId="1D5E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2727F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市林业局</w:t>
            </w:r>
          </w:p>
        </w:tc>
        <w:tc>
          <w:tcPr>
            <w:tcW w:w="12845" w:type="dxa"/>
            <w:vAlign w:val="center"/>
          </w:tcPr>
          <w:p w14:paraId="6FC50D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负责指导全市风景林区、生态林区、经济林区、防护林区的地质灾害防治工作。</w:t>
            </w:r>
          </w:p>
          <w:p w14:paraId="7B67170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负责指导开展管辖区域林地范围内地质灾害隐患的排查、巡查、检查，督促责任单位在地质灾害隐患点危险区设立明显的警示标识，落实地质灾害隐患点防灾责任人、监测责任人、监测措施、应急预案。</w:t>
            </w:r>
          </w:p>
        </w:tc>
      </w:tr>
      <w:tr w14:paraId="6361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478601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p>
          <w:p w14:paraId="176C4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p>
          <w:p w14:paraId="4ECD6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市交通运输局</w:t>
            </w:r>
          </w:p>
          <w:p w14:paraId="0421A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p>
          <w:p w14:paraId="4B41E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p>
          <w:p w14:paraId="349C7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p>
          <w:p w14:paraId="2661F9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p>
          <w:p w14:paraId="1FBB2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市交通运输局</w:t>
            </w:r>
          </w:p>
          <w:p w14:paraId="60EB4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p>
        </w:tc>
        <w:tc>
          <w:tcPr>
            <w:tcW w:w="12845" w:type="dxa"/>
            <w:vAlign w:val="center"/>
          </w:tcPr>
          <w:p w14:paraId="1B44AD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督促市公路部门及各县（区）交通公路部门对辖区内的国省道、农村公路及公路用地范围内的地质灾害隐患</w:t>
            </w:r>
            <w:r>
              <w:rPr>
                <w:rFonts w:hint="eastAsia" w:ascii="仿宋_GB2312" w:hAnsi="仿宋_GB2312" w:cs="仿宋_GB2312"/>
                <w:b w:val="0"/>
                <w:bCs/>
                <w:color w:val="000000"/>
                <w:kern w:val="30"/>
                <w:sz w:val="24"/>
                <w:szCs w:val="24"/>
                <w:lang w:val="en-US" w:eastAsia="zh-CN" w:bidi="ar-SA"/>
              </w:rPr>
              <w:t>开展</w:t>
            </w:r>
            <w:r>
              <w:rPr>
                <w:rFonts w:hint="eastAsia" w:ascii="仿宋_GB2312" w:hAnsi="仿宋_GB2312" w:eastAsia="仿宋_GB2312" w:cs="仿宋_GB2312"/>
                <w:b w:val="0"/>
                <w:bCs/>
                <w:color w:val="000000"/>
                <w:kern w:val="30"/>
                <w:sz w:val="24"/>
                <w:szCs w:val="24"/>
                <w:lang w:val="en-US" w:eastAsia="zh-CN" w:bidi="ar-SA"/>
              </w:rPr>
              <w:t>排查、巡查、检查、监测等地质灾害隐患群测群防工作。</w:t>
            </w:r>
          </w:p>
          <w:p w14:paraId="5ADDFB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督促市公路部门及各县（区）交通公路部门在管辖范围内地质灾害危险路段设立</w:t>
            </w:r>
            <w:r>
              <w:rPr>
                <w:rFonts w:hint="eastAsia" w:ascii="仿宋_GB2312" w:hAnsi="仿宋_GB2312" w:cs="仿宋_GB2312"/>
                <w:b w:val="0"/>
                <w:bCs/>
                <w:color w:val="000000"/>
                <w:kern w:val="30"/>
                <w:sz w:val="24"/>
                <w:szCs w:val="24"/>
                <w:lang w:val="en-US" w:eastAsia="zh-CN" w:bidi="ar-SA"/>
              </w:rPr>
              <w:t>明显</w:t>
            </w:r>
            <w:r>
              <w:rPr>
                <w:rFonts w:hint="eastAsia" w:ascii="仿宋_GB2312" w:hAnsi="仿宋_GB2312" w:eastAsia="仿宋_GB2312" w:cs="仿宋_GB2312"/>
                <w:b w:val="0"/>
                <w:bCs/>
                <w:color w:val="000000"/>
                <w:kern w:val="30"/>
                <w:sz w:val="24"/>
                <w:szCs w:val="24"/>
                <w:lang w:val="en-US" w:eastAsia="zh-CN" w:bidi="ar-SA"/>
              </w:rPr>
              <w:t>的警示标识，落实公路地质灾害防灾责任人、监测责任人，并依法采取封闭危险路段的措施。</w:t>
            </w:r>
          </w:p>
          <w:p w14:paraId="6796DF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3</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督促指导项目业主在立项、设计、建设等环节充分考虑和利用地质灾害防治规划与地质灾害危险性评估结果，对评估认为可能引发或遭受地质灾害危害的建设路段，应依法要求项目业主落实管理职责，进行地质灾害治理，并纳入项目验收。</w:t>
            </w:r>
          </w:p>
          <w:p w14:paraId="485863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4</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负责监督市公路部门和县（区）交通公路部门管养范围内地质灾害事件的</w:t>
            </w:r>
            <w:r>
              <w:rPr>
                <w:rFonts w:hint="eastAsia" w:ascii="仿宋_GB2312" w:hAnsi="仿宋_GB2312" w:cs="仿宋_GB2312"/>
                <w:b w:val="0"/>
                <w:bCs/>
                <w:color w:val="000000"/>
                <w:kern w:val="30"/>
                <w:sz w:val="24"/>
                <w:szCs w:val="24"/>
                <w:lang w:val="en-US" w:eastAsia="zh-CN" w:bidi="ar-SA"/>
              </w:rPr>
              <w:t>报告工作</w:t>
            </w:r>
            <w:r>
              <w:rPr>
                <w:rFonts w:hint="eastAsia" w:ascii="仿宋_GB2312" w:hAnsi="仿宋_GB2312" w:eastAsia="仿宋_GB2312" w:cs="仿宋_GB2312"/>
                <w:b w:val="0"/>
                <w:bCs/>
                <w:color w:val="000000"/>
                <w:kern w:val="30"/>
                <w:sz w:val="24"/>
                <w:szCs w:val="24"/>
                <w:lang w:val="en-US" w:eastAsia="zh-CN" w:bidi="ar-SA"/>
              </w:rPr>
              <w:t>，督促市公路部门和县</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区</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 xml:space="preserve">交通公路部门按职责治理危及群众生命财产安全的地质灾害。 </w:t>
            </w:r>
          </w:p>
          <w:p w14:paraId="4AA11E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5</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负责协调相关部门做好铁路、水路等其他交通基础设施及沿线所属范围内的地质灾害防治工作。</w:t>
            </w:r>
          </w:p>
        </w:tc>
      </w:tr>
      <w:tr w14:paraId="3F10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73EB4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市文化广电旅游</w:t>
            </w:r>
          </w:p>
          <w:p w14:paraId="17DAB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体育局</w:t>
            </w:r>
          </w:p>
        </w:tc>
        <w:tc>
          <w:tcPr>
            <w:tcW w:w="12845" w:type="dxa"/>
            <w:vAlign w:val="center"/>
          </w:tcPr>
          <w:p w14:paraId="582277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督促全市旅游景区、景点做好地质灾害防治工作。</w:t>
            </w:r>
          </w:p>
          <w:p w14:paraId="67E44B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督促对全市旅游景区、景点的地质灾害隐患进行排查、巡查、检查、监测和监管，划定地质灾害危险区域，设立明显的警示标识。</w:t>
            </w:r>
          </w:p>
          <w:p w14:paraId="6C5FD6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3</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督促辖内的地质灾害隐患点的治理。</w:t>
            </w:r>
          </w:p>
        </w:tc>
      </w:tr>
      <w:tr w14:paraId="2ABE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5641D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市卫生健康局</w:t>
            </w:r>
          </w:p>
        </w:tc>
        <w:tc>
          <w:tcPr>
            <w:tcW w:w="12845" w:type="dxa"/>
            <w:vAlign w:val="center"/>
          </w:tcPr>
          <w:p w14:paraId="55D318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负责重大地质灾害发生区的卫生资源调度，组织力量及时抢救伤病员，做好灾区防疫工作，防止灾区疫情、疾病的传播、蔓延。</w:t>
            </w:r>
          </w:p>
          <w:p w14:paraId="1879D4C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cs="仿宋_GB2312"/>
                <w:b w:val="0"/>
                <w:bCs/>
                <w:color w:val="000000"/>
                <w:kern w:val="30"/>
                <w:sz w:val="24"/>
                <w:szCs w:val="24"/>
                <w:lang w:val="en-US" w:eastAsia="zh-CN" w:bidi="ar-SA"/>
              </w:rPr>
              <w:t>2.</w:t>
            </w:r>
            <w:r>
              <w:rPr>
                <w:rFonts w:hint="eastAsia" w:ascii="仿宋_GB2312" w:hAnsi="仿宋_GB2312" w:eastAsia="仿宋_GB2312" w:cs="仿宋_GB2312"/>
                <w:b w:val="0"/>
                <w:bCs/>
                <w:color w:val="000000"/>
                <w:kern w:val="30"/>
                <w:sz w:val="24"/>
                <w:szCs w:val="24"/>
                <w:lang w:val="en-US" w:eastAsia="zh-CN" w:bidi="ar-SA"/>
              </w:rPr>
              <w:t>及时向市地质灾害应急指挥部报告医疗救助和防疫情况。</w:t>
            </w:r>
          </w:p>
        </w:tc>
      </w:tr>
      <w:tr w14:paraId="1950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44576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市气象局</w:t>
            </w:r>
          </w:p>
        </w:tc>
        <w:tc>
          <w:tcPr>
            <w:tcW w:w="12845" w:type="dxa"/>
            <w:vAlign w:val="center"/>
          </w:tcPr>
          <w:p w14:paraId="0C7B1C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cs="仿宋_GB2312"/>
                <w:b w:val="0"/>
                <w:bCs/>
                <w:color w:val="000000"/>
                <w:kern w:val="30"/>
                <w:sz w:val="24"/>
                <w:szCs w:val="24"/>
                <w:lang w:val="en-US" w:eastAsia="zh-CN" w:bidi="ar-SA"/>
              </w:rPr>
              <w:t>1.</w:t>
            </w:r>
            <w:r>
              <w:rPr>
                <w:rFonts w:hint="eastAsia" w:ascii="仿宋_GB2312" w:hAnsi="仿宋_GB2312" w:eastAsia="仿宋_GB2312" w:cs="仿宋_GB2312"/>
                <w:b w:val="0"/>
                <w:bCs/>
                <w:color w:val="000000"/>
                <w:kern w:val="30"/>
                <w:sz w:val="24"/>
                <w:szCs w:val="24"/>
                <w:lang w:val="en-US" w:eastAsia="zh-CN" w:bidi="ar-SA"/>
              </w:rPr>
              <w:t>负责及时发布气象监测、预报、预警信息，协同相关部门发布地质灾害气象风险预警信息。</w:t>
            </w:r>
          </w:p>
          <w:p w14:paraId="006260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根据地质灾害防范工作需求，负责提供气象相关信息。</w:t>
            </w:r>
          </w:p>
        </w:tc>
      </w:tr>
      <w:tr w14:paraId="3F65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14:paraId="67B7AC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河源供电局</w:t>
            </w:r>
          </w:p>
        </w:tc>
        <w:tc>
          <w:tcPr>
            <w:tcW w:w="12845" w:type="dxa"/>
            <w:vAlign w:val="center"/>
          </w:tcPr>
          <w:p w14:paraId="7C01D3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1</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负责对产权范围内配电设施、变电站周围及输配电线路两侧地质灾害排查、监测、治理等防治工作。</w:t>
            </w:r>
          </w:p>
          <w:p w14:paraId="5025D1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default" w:ascii="仿宋_GB2312" w:hAnsi="仿宋_GB2312" w:eastAsia="仿宋_GB2312" w:cs="仿宋_GB2312"/>
                <w:b w:val="0"/>
                <w:bCs/>
                <w:color w:val="000000"/>
                <w:kern w:val="30"/>
                <w:sz w:val="24"/>
                <w:szCs w:val="24"/>
                <w:lang w:val="en-US" w:eastAsia="zh-CN" w:bidi="ar-SA"/>
              </w:rPr>
            </w:pPr>
            <w:r>
              <w:rPr>
                <w:rFonts w:hint="eastAsia" w:ascii="仿宋_GB2312" w:hAnsi="仿宋_GB2312" w:eastAsia="仿宋_GB2312" w:cs="仿宋_GB2312"/>
                <w:b w:val="0"/>
                <w:bCs/>
                <w:color w:val="000000"/>
                <w:kern w:val="30"/>
                <w:sz w:val="24"/>
                <w:szCs w:val="24"/>
                <w:lang w:val="en-US" w:eastAsia="zh-CN" w:bidi="ar-SA"/>
              </w:rPr>
              <w:t>2</w:t>
            </w:r>
            <w:r>
              <w:rPr>
                <w:rFonts w:hint="eastAsia" w:ascii="仿宋_GB2312" w:hAnsi="仿宋_GB2312" w:cs="仿宋_GB2312"/>
                <w:b w:val="0"/>
                <w:bCs/>
                <w:color w:val="000000"/>
                <w:kern w:val="30"/>
                <w:sz w:val="24"/>
                <w:szCs w:val="24"/>
                <w:lang w:val="en-US" w:eastAsia="zh-CN" w:bidi="ar-SA"/>
              </w:rPr>
              <w:t>.</w:t>
            </w:r>
            <w:r>
              <w:rPr>
                <w:rFonts w:hint="eastAsia" w:ascii="仿宋_GB2312" w:hAnsi="仿宋_GB2312" w:eastAsia="仿宋_GB2312" w:cs="仿宋_GB2312"/>
                <w:b w:val="0"/>
                <w:bCs/>
                <w:color w:val="000000"/>
                <w:kern w:val="30"/>
                <w:sz w:val="24"/>
                <w:szCs w:val="24"/>
                <w:lang w:val="en-US" w:eastAsia="zh-CN" w:bidi="ar-SA"/>
              </w:rPr>
              <w:t>负责地质灾害区域产权范围内的电力设施紧急抢修，确保电力可靠供应。</w:t>
            </w:r>
          </w:p>
        </w:tc>
      </w:tr>
    </w:tbl>
    <w:p w14:paraId="63444569">
      <w:pPr>
        <w:spacing w:line="600" w:lineRule="exact"/>
        <w:rPr>
          <w:rFonts w:hint="eastAsia"/>
        </w:rPr>
      </w:pPr>
    </w:p>
    <w:p w14:paraId="27949C7C">
      <w:pPr>
        <w:spacing w:line="600" w:lineRule="exact"/>
        <w:rPr>
          <w:rFonts w:hint="eastAsia" w:eastAsia="黑体"/>
        </w:rPr>
        <w:sectPr>
          <w:footerReference r:id="rId6" w:type="default"/>
          <w:pgSz w:w="16838" w:h="11906" w:orient="landscape"/>
          <w:pgMar w:top="1531" w:right="1531" w:bottom="1531" w:left="1531" w:header="851" w:footer="992" w:gutter="0"/>
          <w:pgNumType w:fmt="decimal" w:start="13"/>
          <w:cols w:space="0" w:num="1"/>
          <w:rtlGutter w:val="0"/>
          <w:docGrid w:type="linesAndChars" w:linePitch="631" w:charSpace="-849"/>
        </w:sectPr>
      </w:pPr>
    </w:p>
    <w:p w14:paraId="369B4803">
      <w:pPr>
        <w:spacing w:line="600" w:lineRule="exact"/>
        <w:rPr>
          <w:rFonts w:hint="eastAsia" w:eastAsia="黑体"/>
        </w:rPr>
      </w:pPr>
    </w:p>
    <w:p w14:paraId="03298FA9">
      <w:pPr>
        <w:spacing w:line="600" w:lineRule="exact"/>
        <w:rPr>
          <w:rFonts w:hint="eastAsia" w:eastAsia="黑体"/>
        </w:rPr>
      </w:pPr>
    </w:p>
    <w:p w14:paraId="685E4EF5">
      <w:pPr>
        <w:spacing w:line="600" w:lineRule="exact"/>
        <w:rPr>
          <w:rFonts w:hint="eastAsia" w:eastAsia="黑体"/>
        </w:rPr>
      </w:pPr>
    </w:p>
    <w:p w14:paraId="71854762">
      <w:pPr>
        <w:spacing w:line="600" w:lineRule="exact"/>
        <w:rPr>
          <w:rFonts w:hint="eastAsia" w:eastAsia="黑体"/>
        </w:rPr>
      </w:pPr>
    </w:p>
    <w:p w14:paraId="15395AE1">
      <w:pPr>
        <w:spacing w:line="600" w:lineRule="exact"/>
        <w:rPr>
          <w:rFonts w:hint="eastAsia" w:eastAsia="黑体"/>
        </w:rPr>
      </w:pPr>
    </w:p>
    <w:p w14:paraId="6E670D90">
      <w:pPr>
        <w:spacing w:line="600" w:lineRule="exact"/>
        <w:rPr>
          <w:rFonts w:hint="eastAsia" w:eastAsia="黑体"/>
        </w:rPr>
      </w:pPr>
    </w:p>
    <w:p w14:paraId="7EFBAEB3">
      <w:pPr>
        <w:spacing w:line="600" w:lineRule="exact"/>
        <w:rPr>
          <w:rFonts w:hint="eastAsia" w:eastAsia="黑体"/>
        </w:rPr>
      </w:pPr>
    </w:p>
    <w:p w14:paraId="245CE836">
      <w:pPr>
        <w:spacing w:line="600" w:lineRule="exact"/>
        <w:rPr>
          <w:rFonts w:hint="eastAsia" w:eastAsia="黑体"/>
        </w:rPr>
      </w:pPr>
    </w:p>
    <w:p w14:paraId="41A44353">
      <w:pPr>
        <w:spacing w:line="600" w:lineRule="exact"/>
        <w:rPr>
          <w:rFonts w:hint="eastAsia" w:eastAsia="黑体"/>
        </w:rPr>
      </w:pPr>
    </w:p>
    <w:p w14:paraId="69037C84">
      <w:pPr>
        <w:spacing w:line="600" w:lineRule="exact"/>
        <w:rPr>
          <w:rFonts w:hint="eastAsia" w:eastAsia="黑体"/>
        </w:rPr>
      </w:pPr>
    </w:p>
    <w:p w14:paraId="2A6E8EC1">
      <w:pPr>
        <w:spacing w:line="600" w:lineRule="exact"/>
        <w:rPr>
          <w:rFonts w:hint="eastAsia" w:eastAsia="黑体"/>
        </w:rPr>
      </w:pPr>
    </w:p>
    <w:p w14:paraId="520C9F1E">
      <w:pPr>
        <w:spacing w:line="600" w:lineRule="exact"/>
        <w:rPr>
          <w:rFonts w:hint="eastAsia" w:eastAsia="黑体"/>
        </w:rPr>
      </w:pPr>
    </w:p>
    <w:p w14:paraId="579AD93D">
      <w:pPr>
        <w:spacing w:line="600" w:lineRule="exact"/>
        <w:rPr>
          <w:rFonts w:hint="eastAsia" w:eastAsia="黑体"/>
        </w:rPr>
      </w:pPr>
    </w:p>
    <w:p w14:paraId="0547DEDA">
      <w:pPr>
        <w:spacing w:line="600" w:lineRule="exact"/>
        <w:rPr>
          <w:rFonts w:hint="eastAsia" w:eastAsia="黑体"/>
        </w:rPr>
      </w:pPr>
    </w:p>
    <w:p w14:paraId="31B95AE6">
      <w:pPr>
        <w:spacing w:line="600" w:lineRule="exact"/>
        <w:rPr>
          <w:rFonts w:hint="eastAsia" w:eastAsia="黑体"/>
        </w:rPr>
      </w:pPr>
    </w:p>
    <w:p w14:paraId="511A92BD">
      <w:pPr>
        <w:spacing w:line="600" w:lineRule="exact"/>
        <w:rPr>
          <w:rFonts w:hint="eastAsia" w:eastAsia="黑体"/>
        </w:rPr>
      </w:pPr>
    </w:p>
    <w:p w14:paraId="1CABE17A">
      <w:pPr>
        <w:spacing w:line="600" w:lineRule="exact"/>
        <w:rPr>
          <w:rFonts w:hint="eastAsia" w:eastAsia="黑体"/>
        </w:rPr>
      </w:pPr>
    </w:p>
    <w:p w14:paraId="72BB8C71">
      <w:pPr>
        <w:spacing w:line="600" w:lineRule="exact"/>
        <w:rPr>
          <w:rFonts w:hint="eastAsia"/>
        </w:rPr>
      </w:pPr>
      <w:r>
        <w:rPr>
          <w:rFonts w:hint="eastAsia" w:eastAsia="黑体"/>
        </w:rPr>
        <w:t>公开方式：</w:t>
      </w:r>
      <w:r>
        <w:rPr>
          <w:rFonts w:hint="eastAsia"/>
        </w:rPr>
        <w:t>主动公开</w:t>
      </w:r>
      <w:bookmarkStart w:id="2" w:name="_GoBack"/>
      <w:bookmarkEnd w:id="2"/>
    </w:p>
    <w:sectPr>
      <w:footerReference r:id="rId7" w:type="default"/>
      <w:pgSz w:w="11906" w:h="16838"/>
      <w:pgMar w:top="1531" w:right="1531" w:bottom="2098" w:left="1531" w:header="851" w:footer="992" w:gutter="0"/>
      <w:pgNumType w:fmt="decimal"/>
      <w:cols w:space="0" w:num="1"/>
      <w:rtlGutter w:val="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408D">
    <w:pPr>
      <w:pStyle w:val="3"/>
      <w:framePr w:wrap="around" w:vAnchor="text" w:hAnchor="margin" w:xAlign="outside" w:y="1"/>
      <w:rPr>
        <w:rStyle w:val="8"/>
        <w:rFonts w:hint="eastAsia"/>
        <w:sz w:val="28"/>
      </w:rPr>
    </w:pPr>
    <w:r>
      <w:rPr>
        <w:rStyle w:val="8"/>
        <w:rFonts w:hint="eastAsia"/>
        <w:sz w:val="28"/>
      </w:rPr>
      <w:t xml:space="preserve">— </w:t>
    </w:r>
    <w:r>
      <w:rPr>
        <w:sz w:val="28"/>
      </w:rPr>
      <w:fldChar w:fldCharType="begin"/>
    </w:r>
    <w:r>
      <w:rPr>
        <w:rStyle w:val="8"/>
        <w:sz w:val="28"/>
      </w:rPr>
      <w:instrText xml:space="preserve"> PAGE </w:instrText>
    </w:r>
    <w:r>
      <w:rPr>
        <w:sz w:val="28"/>
      </w:rPr>
      <w:fldChar w:fldCharType="separate"/>
    </w:r>
    <w:r>
      <w:rPr>
        <w:rStyle w:val="8"/>
        <w:rFonts w:hint="eastAsia"/>
        <w:sz w:val="28"/>
      </w:rPr>
      <w:t>２</w:t>
    </w:r>
    <w:r>
      <w:rPr>
        <w:sz w:val="28"/>
      </w:rPr>
      <w:fldChar w:fldCharType="end"/>
    </w:r>
    <w:r>
      <w:rPr>
        <w:rStyle w:val="8"/>
        <w:rFonts w:hint="eastAsia"/>
        <w:sz w:val="28"/>
      </w:rPr>
      <w:t xml:space="preserve"> —</w:t>
    </w:r>
  </w:p>
  <w:p w14:paraId="469FAD82">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26B5">
    <w:pPr>
      <w:pStyle w:val="3"/>
      <w:framePr w:wrap="around" w:vAnchor="text" w:hAnchor="margin" w:xAlign="outside" w:y="1"/>
      <w:rPr>
        <w:rStyle w:val="8"/>
      </w:rPr>
    </w:pPr>
    <w:r>
      <w:fldChar w:fldCharType="begin"/>
    </w:r>
    <w:r>
      <w:rPr>
        <w:rStyle w:val="8"/>
      </w:rPr>
      <w:instrText xml:space="preserve">PAGE  </w:instrText>
    </w:r>
    <w:r>
      <w:fldChar w:fldCharType="end"/>
    </w:r>
  </w:p>
  <w:p w14:paraId="6DA5B358">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126D">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3177B">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23177B">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1E62">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posOffset>3901440</wp:posOffset>
              </wp:positionH>
              <wp:positionV relativeFrom="paragraph">
                <wp:posOffset>-75565</wp:posOffset>
              </wp:positionV>
              <wp:extent cx="1022350" cy="3124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2350"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0E562">
                          <w:pPr>
                            <w:pStyle w:val="3"/>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１３</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7.2pt;margin-top:-5.95pt;height:24.6pt;width:80.5pt;mso-position-horizontal-relative:margin;z-index:251661312;mso-width-relative:page;mso-height-relative:page;" filled="f" stroked="f" coordsize="21600,21600" o:gfxdata="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RlOUtoAAAAKAQAADwAAAAAAAAABACAAAAAiAAAAZHJzL2Rvd25y&#10;ZXYueG1sUEsBAhQAFAAAAAgAh07iQHewuSo1AgAAYgQAAA4AAAAAAAAAAQAgAAAAKQEAAGRycy9l&#10;Mm9Eb2MueG1sUEsFBgAAAAAGAAYAWQEAANAFAAAAAA==&#10;">
              <v:fill on="f" focussize="0,0"/>
              <v:stroke on="f" weight="0.5pt"/>
              <v:imagedata o:title=""/>
              <o:lock v:ext="edit" aspectratio="f"/>
              <v:textbox inset="0mm,0mm,0mm,0mm">
                <w:txbxContent>
                  <w:p w14:paraId="2BB0E562">
                    <w:pPr>
                      <w:pStyle w:val="3"/>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１３</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EAAB2">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-104140</wp:posOffset>
              </wp:positionV>
              <wp:extent cx="935990" cy="3409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35990"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19596">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６</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8.2pt;height:26.85pt;width:73.7pt;mso-position-horizontal-relative:margin;z-index:251660288;mso-width-relative:page;mso-height-relative:page;" filled="f" stroked="f" coordsize="21600,21600" o:gfxdata="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vREbR1gAAAAcBAAAPAAAAAAAAAAEAIAAAACIAAABkcnMvZG93bnJl&#10;di54bWxQSwECFAAUAAAACACHTuJAt6b3dzgCAABhBAAADgAAAAAAAAABACAAAAAlAQAAZHJzL2Uy&#10;b0RvYy54bWxQSwUGAAAAAAYABgBZAQAAzwUAAAAA&#10;">
              <v:fill on="f" focussize="0,0"/>
              <v:stroke on="f" weight="0.5pt"/>
              <v:imagedata o:title=""/>
              <o:lock v:ext="edit" aspectratio="f"/>
              <v:textbox inset="0mm,0mm,0mm,0mm">
                <w:txbxContent>
                  <w:p w14:paraId="43219596">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６</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77333"/>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5851011"/>
    <w:rsid w:val="1A6143FC"/>
    <w:rsid w:val="229307FF"/>
    <w:rsid w:val="22BA530B"/>
    <w:rsid w:val="2345257F"/>
    <w:rsid w:val="28A54197"/>
    <w:rsid w:val="2E9C03CC"/>
    <w:rsid w:val="40C015F7"/>
    <w:rsid w:val="481C1C7A"/>
    <w:rsid w:val="4BB0557C"/>
    <w:rsid w:val="4C50453F"/>
    <w:rsid w:val="4D677333"/>
    <w:rsid w:val="52061E4F"/>
    <w:rsid w:val="55E02ED8"/>
    <w:rsid w:val="569652DC"/>
    <w:rsid w:val="59A05EBF"/>
    <w:rsid w:val="5F6626FD"/>
    <w:rsid w:val="619458D9"/>
    <w:rsid w:val="63193087"/>
    <w:rsid w:val="76AF37D6"/>
    <w:rsid w:val="77297D8C"/>
    <w:rsid w:val="7A146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
      <w:ind w:left="124"/>
      <w:jc w:val="left"/>
    </w:pPr>
    <w:rPr>
      <w:rFonts w:ascii="宋体" w:hAnsi="宋体" w:eastAsia="宋体"/>
      <w:kern w:val="0"/>
      <w:sz w:val="29"/>
      <w:szCs w:val="29"/>
      <w:lang w:eastAsia="en-U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65288;&#19979;&#2145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河府办（下发）.dot</Template>
  <Company>河源市府办公室</Company>
  <Pages>17</Pages>
  <Words>6042</Words>
  <Characters>6411</Characters>
  <Lines>1</Lines>
  <Paragraphs>1</Paragraphs>
  <TotalTime>1</TotalTime>
  <ScaleCrop>false</ScaleCrop>
  <LinksUpToDate>false</LinksUpToDate>
  <CharactersWithSpaces>6536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2025-04-09T07:58:00Z</dcterms:created>
  <dc:creator>市府办公室电脑室</dc:creator>
  <cp:lastModifiedBy>hyxr</cp:lastModifiedBy>
  <cp:lastPrinted>2025-04-10T01:07:00Z</cp:lastPrinted>
  <dcterms:modified xsi:type="dcterms:W3CDTF">2025-06-09T01:58:04Z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532AB56ADD72463A8F7EA84B5E8B0614</vt:lpwstr>
  </property>
  <property fmtid="{D5CDD505-2E9C-101B-9397-08002B2CF9AE}" pid="4" name="KSOTemplateDocerSaveRecord">
    <vt:lpwstr>eyJoZGlkIjoiOTNlYTMzZjhhNTdmYzY0OGRlOTA1MDM4ZDk4Y2I4ZTEiLCJ1c2VySWQiOiI3MTY4NDI1MDEifQ==</vt:lpwstr>
  </property>
</Properties>
</file>