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beforeLines="0" w:after="0" w:afterLines="0" w:line="560" w:lineRule="exact"/>
        <w:jc w:val="center"/>
        <w:rPr>
          <w:rFonts w:hint="eastAsia" w:ascii="黑体" w:hAnsi="黑体" w:eastAsia="黑体" w:cs="黑体"/>
          <w:b w:val="0"/>
          <w:bCs w:val="0"/>
          <w:lang w:eastAsia="zh-CN"/>
        </w:rPr>
      </w:pPr>
      <w:bookmarkStart w:id="0" w:name="_Toc705"/>
      <w:bookmarkStart w:id="1" w:name="_Toc31297"/>
      <w:bookmarkStart w:id="2" w:name="_Toc16032"/>
      <w:bookmarkStart w:id="3" w:name="_Toc15209"/>
      <w:r>
        <w:rPr>
          <w:rFonts w:hint="eastAsia" w:ascii="黑体" w:hAnsi="黑体" w:eastAsia="黑体" w:cs="黑体"/>
          <w:b w:val="0"/>
          <w:bCs w:val="0"/>
        </w:rPr>
        <w:t>港澳资旅行社试点经营广东省居民赴</w:t>
      </w:r>
      <w:r>
        <w:rPr>
          <w:rFonts w:hint="eastAsia" w:ascii="黑体" w:hAnsi="黑体" w:eastAsia="黑体" w:cs="黑体"/>
          <w:b w:val="0"/>
          <w:bCs w:val="0"/>
          <w:lang w:eastAsia="zh-CN"/>
        </w:rPr>
        <w:t>港澳</w:t>
      </w:r>
      <w:r>
        <w:rPr>
          <w:rFonts w:hint="eastAsia" w:ascii="黑体" w:hAnsi="黑体" w:eastAsia="黑体" w:cs="黑体"/>
          <w:b w:val="0"/>
          <w:bCs w:val="0"/>
        </w:rPr>
        <w:t>团队旅游审核</w:t>
      </w:r>
      <w:r>
        <w:rPr>
          <w:rFonts w:hint="eastAsia" w:ascii="黑体" w:hAnsi="黑体" w:eastAsia="黑体" w:cs="黑体"/>
          <w:b w:val="0"/>
          <w:bCs w:val="0"/>
          <w:lang w:eastAsia="zh-CN"/>
        </w:rPr>
        <w:t>办事指南</w:t>
      </w:r>
    </w:p>
    <w:bookmarkEnd w:id="0"/>
    <w:bookmarkEnd w:id="1"/>
    <w:bookmarkEnd w:id="2"/>
    <w:bookmarkEnd w:id="3"/>
    <w:p>
      <w:pPr>
        <w:rPr>
          <w:rFonts w:hint="eastAsia"/>
          <w:sz w:val="32"/>
          <w:szCs w:val="32"/>
        </w:rPr>
      </w:pPr>
    </w:p>
    <w:p>
      <w:pPr>
        <w:spacing w:line="560" w:lineRule="exact"/>
        <w:ind w:firstLine="640" w:firstLineChars="200"/>
        <w:rPr>
          <w:rFonts w:hint="eastAsia" w:ascii="黑体" w:eastAsia="黑体"/>
          <w:sz w:val="32"/>
          <w:szCs w:val="32"/>
        </w:rPr>
      </w:pPr>
      <w:r>
        <w:rPr>
          <w:rFonts w:hint="eastAsia" w:ascii="黑体" w:eastAsia="黑体"/>
          <w:sz w:val="32"/>
          <w:szCs w:val="32"/>
        </w:rPr>
        <w:t>一、适用范围</w:t>
      </w:r>
    </w:p>
    <w:p>
      <w:pPr>
        <w:pStyle w:val="7"/>
        <w:snapToGrid w:val="0"/>
        <w:spacing w:line="560" w:lineRule="exact"/>
        <w:ind w:firstLine="640"/>
        <w:rPr>
          <w:rFonts w:hint="eastAsia" w:ascii="仿宋_GB2312" w:eastAsia="仿宋_GB2312"/>
          <w:sz w:val="32"/>
          <w:szCs w:val="32"/>
        </w:rPr>
      </w:pPr>
      <w:r>
        <w:rPr>
          <w:rFonts w:hint="eastAsia" w:ascii="仿宋_GB2312" w:eastAsia="仿宋_GB2312"/>
          <w:sz w:val="32"/>
          <w:szCs w:val="32"/>
        </w:rPr>
        <w:t>本指南适用于广东省内</w:t>
      </w:r>
      <w:r>
        <w:rPr>
          <w:rFonts w:hint="eastAsia" w:ascii="仿宋_GB2312" w:eastAsia="仿宋_GB2312"/>
          <w:sz w:val="32"/>
          <w:szCs w:val="32"/>
          <w:lang w:eastAsia="zh-CN"/>
        </w:rPr>
        <w:t>港澳资旅行社试点经营广东省居民赴港澳团队旅游审核</w:t>
      </w:r>
      <w:r>
        <w:rPr>
          <w:rFonts w:hint="eastAsia" w:ascii="仿宋_GB2312" w:eastAsia="仿宋_GB2312"/>
          <w:sz w:val="32"/>
          <w:szCs w:val="32"/>
        </w:rPr>
        <w:t>的申请和办理。</w:t>
      </w:r>
    </w:p>
    <w:p>
      <w:pPr>
        <w:pStyle w:val="7"/>
        <w:snapToGrid w:val="0"/>
        <w:spacing w:line="560" w:lineRule="exact"/>
        <w:ind w:firstLine="640"/>
        <w:rPr>
          <w:rFonts w:hint="eastAsia" w:ascii="黑体" w:eastAsia="黑体"/>
          <w:sz w:val="32"/>
          <w:szCs w:val="32"/>
        </w:rPr>
      </w:pPr>
      <w:r>
        <w:rPr>
          <w:rFonts w:hint="eastAsia" w:ascii="黑体" w:eastAsia="黑体"/>
          <w:sz w:val="32"/>
          <w:szCs w:val="32"/>
        </w:rPr>
        <w:t>二、申请事项</w:t>
      </w:r>
    </w:p>
    <w:p>
      <w:pPr>
        <w:snapToGrid w:val="0"/>
        <w:spacing w:line="560" w:lineRule="exact"/>
        <w:ind w:firstLine="0" w:firstLineChars="0"/>
        <w:rPr>
          <w:rFonts w:hint="eastAsia" w:ascii="仿宋_GB2312" w:eastAsia="仿宋_GB2312"/>
          <w:sz w:val="32"/>
          <w:szCs w:val="32"/>
        </w:rPr>
      </w:pPr>
      <w:r>
        <w:rPr>
          <w:rFonts w:hint="eastAsia" w:ascii="仿宋_GB2312" w:eastAsia="仿宋_GB2312"/>
          <w:sz w:val="32"/>
          <w:szCs w:val="32"/>
          <w:lang w:val="en-US" w:eastAsia="zh-CN"/>
        </w:rPr>
        <w:t xml:space="preserve">    事项：港澳资旅行社试点经营广东省居民赴港澳团队旅游审核</w:t>
      </w:r>
    </w:p>
    <w:p>
      <w:pPr>
        <w:snapToGrid w:val="0"/>
        <w:spacing w:line="560" w:lineRule="exact"/>
        <w:ind w:firstLine="640" w:firstLineChars="200"/>
        <w:rPr>
          <w:rFonts w:hint="eastAsia" w:ascii="黑体" w:hAnsi="宋体" w:eastAsia="黑体"/>
          <w:sz w:val="32"/>
          <w:szCs w:val="32"/>
        </w:rPr>
      </w:pPr>
      <w:r>
        <w:rPr>
          <w:rFonts w:hint="eastAsia" w:ascii="黑体" w:eastAsia="黑体"/>
          <w:sz w:val="32"/>
          <w:szCs w:val="32"/>
        </w:rPr>
        <w:t>三、法规依据</w:t>
      </w:r>
    </w:p>
    <w:p>
      <w:pPr>
        <w:tabs>
          <w:tab w:val="left" w:pos="900"/>
        </w:tabs>
        <w:adjustRightInd w:val="0"/>
        <w:snapToGrid w:val="0"/>
        <w:spacing w:line="560" w:lineRule="exact"/>
        <w:ind w:firstLine="643" w:firstLineChars="200"/>
        <w:rPr>
          <w:rFonts w:hint="eastAsia" w:ascii="仿宋_GB2312" w:hAnsi="宋体" w:eastAsia="仿宋_GB2312"/>
          <w:sz w:val="32"/>
          <w:szCs w:val="32"/>
        </w:rPr>
      </w:pPr>
      <w:r>
        <w:rPr>
          <w:rFonts w:hint="eastAsia" w:ascii="仿宋_GB2312" w:hAnsi="宋体" w:eastAsia="仿宋_GB2312"/>
          <w:b/>
          <w:bCs/>
          <w:sz w:val="32"/>
          <w:szCs w:val="32"/>
          <w:lang w:eastAsia="zh-CN"/>
        </w:rPr>
        <w:t>设立依据</w:t>
      </w:r>
      <w:r>
        <w:rPr>
          <w:rFonts w:hint="eastAsia" w:ascii="仿宋_GB2312" w:hAnsi="宋体" w:eastAsia="仿宋_GB2312"/>
          <w:b/>
          <w:bCs/>
          <w:sz w:val="32"/>
          <w:szCs w:val="32"/>
          <w:lang w:val="en-US" w:eastAsia="zh-CN"/>
        </w:rPr>
        <w:t>1</w:t>
      </w:r>
      <w:r>
        <w:rPr>
          <w:rFonts w:hint="eastAsia" w:ascii="仿宋_GB2312" w:hAnsi="宋体" w:eastAsia="仿宋_GB2312"/>
          <w:sz w:val="32"/>
          <w:szCs w:val="32"/>
          <w:lang w:val="en-US" w:eastAsia="zh-CN"/>
        </w:rPr>
        <w:t xml:space="preserve"> </w:t>
      </w:r>
      <w:r>
        <w:rPr>
          <w:rFonts w:hint="eastAsia" w:ascii="仿宋_GB2312" w:hAnsi="宋体" w:eastAsia="仿宋_GB2312"/>
          <w:sz w:val="32"/>
          <w:szCs w:val="32"/>
        </w:rPr>
        <w:t>法律法规名称</w:t>
      </w:r>
      <w:r>
        <w:rPr>
          <w:rFonts w:hint="eastAsia" w:ascii="仿宋_GB2312" w:hAnsi="宋体" w:eastAsia="仿宋_GB2312"/>
          <w:sz w:val="32"/>
          <w:szCs w:val="32"/>
        </w:rPr>
        <w:tab/>
      </w:r>
      <w:r>
        <w:rPr>
          <w:rFonts w:hint="eastAsia" w:ascii="仿宋_GB2312" w:hAnsi="宋体" w:eastAsia="仿宋_GB2312"/>
          <w:sz w:val="32"/>
          <w:szCs w:val="32"/>
        </w:rPr>
        <w:t>《旅行社条例》</w:t>
      </w:r>
    </w:p>
    <w:p>
      <w:pPr>
        <w:tabs>
          <w:tab w:val="left" w:pos="900"/>
        </w:tabs>
        <w:adjustRightInd w:val="0"/>
        <w:snapToGrid w:val="0"/>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依据文号</w:t>
      </w:r>
      <w:r>
        <w:rPr>
          <w:rFonts w:hint="eastAsia" w:ascii="仿宋_GB2312" w:hAnsi="宋体" w:eastAsia="仿宋_GB2312"/>
          <w:sz w:val="32"/>
          <w:szCs w:val="32"/>
        </w:rPr>
        <w:tab/>
      </w:r>
      <w:r>
        <w:rPr>
          <w:rFonts w:hint="eastAsia" w:ascii="仿宋_GB2312" w:hAnsi="宋体" w:eastAsia="仿宋_GB2312"/>
          <w:sz w:val="32"/>
          <w:szCs w:val="32"/>
        </w:rPr>
        <w:t>（2009年1月21日国务院第47次常务会议通过，2009年2月20日国务院令第550号公布，自2009年5月1日起施行。根据2016年2月6日国务院令第666号公布的《国务院关于修改部分行政法规的决定》第一次修改，根据2017年3月1日国务院令第676号公布的《国务院关于修改和废止部分行政法规的决定》第二次修改）</w:t>
      </w:r>
    </w:p>
    <w:p>
      <w:pPr>
        <w:tabs>
          <w:tab w:val="left" w:pos="900"/>
        </w:tabs>
        <w:adjustRightInd w:val="0"/>
        <w:snapToGrid w:val="0"/>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条款号</w:t>
      </w:r>
      <w:r>
        <w:rPr>
          <w:rFonts w:hint="eastAsia" w:ascii="仿宋_GB2312" w:hAnsi="宋体" w:eastAsia="仿宋_GB2312"/>
          <w:sz w:val="32"/>
          <w:szCs w:val="32"/>
        </w:rPr>
        <w:tab/>
      </w:r>
      <w:r>
        <w:rPr>
          <w:rFonts w:hint="eastAsia" w:ascii="仿宋_GB2312" w:hAnsi="宋体" w:eastAsia="仿宋_GB2312"/>
          <w:sz w:val="32"/>
          <w:szCs w:val="32"/>
        </w:rPr>
        <w:t>第九条</w:t>
      </w:r>
    </w:p>
    <w:p>
      <w:pPr>
        <w:tabs>
          <w:tab w:val="left" w:pos="900"/>
        </w:tabs>
        <w:adjustRightInd w:val="0"/>
        <w:snapToGrid w:val="0"/>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颁布机关</w:t>
      </w:r>
      <w:r>
        <w:rPr>
          <w:rFonts w:hint="eastAsia" w:ascii="仿宋_GB2312" w:hAnsi="宋体" w:eastAsia="仿宋_GB2312"/>
          <w:sz w:val="32"/>
          <w:szCs w:val="32"/>
        </w:rPr>
        <w:tab/>
      </w:r>
      <w:r>
        <w:rPr>
          <w:rFonts w:hint="eastAsia" w:ascii="仿宋_GB2312" w:hAnsi="宋体" w:eastAsia="仿宋_GB2312"/>
          <w:sz w:val="32"/>
          <w:szCs w:val="32"/>
        </w:rPr>
        <w:t>国务院</w:t>
      </w:r>
    </w:p>
    <w:p>
      <w:pPr>
        <w:tabs>
          <w:tab w:val="left" w:pos="900"/>
        </w:tabs>
        <w:adjustRightInd w:val="0"/>
        <w:snapToGrid w:val="0"/>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实施日期</w:t>
      </w:r>
      <w:r>
        <w:rPr>
          <w:rFonts w:hint="eastAsia" w:ascii="仿宋_GB2312" w:hAnsi="宋体" w:eastAsia="仿宋_GB2312"/>
          <w:sz w:val="32"/>
          <w:szCs w:val="32"/>
        </w:rPr>
        <w:tab/>
      </w:r>
      <w:r>
        <w:rPr>
          <w:rFonts w:hint="eastAsia" w:ascii="仿宋_GB2312" w:hAnsi="宋体" w:eastAsia="仿宋_GB2312"/>
          <w:sz w:val="32"/>
          <w:szCs w:val="32"/>
        </w:rPr>
        <w:t>2009-05-01</w:t>
      </w:r>
    </w:p>
    <w:p>
      <w:pPr>
        <w:tabs>
          <w:tab w:val="left" w:pos="900"/>
        </w:tabs>
        <w:adjustRightInd w:val="0"/>
        <w:snapToGrid w:val="0"/>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条款内容</w:t>
      </w:r>
      <w:r>
        <w:rPr>
          <w:rFonts w:hint="eastAsia" w:ascii="仿宋_GB2312" w:hAnsi="宋体" w:eastAsia="仿宋_GB2312"/>
          <w:sz w:val="32"/>
          <w:szCs w:val="32"/>
        </w:rPr>
        <w:tab/>
      </w:r>
    </w:p>
    <w:p>
      <w:pPr>
        <w:tabs>
          <w:tab w:val="left" w:pos="900"/>
        </w:tabs>
        <w:adjustRightInd w:val="0"/>
        <w:snapToGrid w:val="0"/>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申请经营出境旅游业务的，应当向国务院旅游行政主管部门或者其委托的省、自治区、直辖市旅游行政管理部门提出申请，受理申请的旅游行政管理部门应当自受理申请之日起20个工作日内作出许可或者不予许可的决定。予以许可的，向申请人换发旅行社业务经营许可证；不予许可的，书面通知申请人并说明理由。设立依据2</w:t>
      </w:r>
      <w:r>
        <w:rPr>
          <w:rFonts w:hint="eastAsia" w:ascii="仿宋_GB2312" w:hAnsi="宋体" w:eastAsia="仿宋_GB2312"/>
          <w:sz w:val="32"/>
          <w:szCs w:val="32"/>
        </w:rPr>
        <w:tab/>
      </w:r>
      <w:r>
        <w:rPr>
          <w:rFonts w:hint="eastAsia" w:ascii="仿宋_GB2312" w:hAnsi="宋体" w:eastAsia="仿宋_GB2312"/>
          <w:sz w:val="32"/>
          <w:szCs w:val="32"/>
        </w:rPr>
        <w:t>法律法规名称</w:t>
      </w:r>
      <w:r>
        <w:rPr>
          <w:rFonts w:hint="eastAsia" w:ascii="仿宋_GB2312" w:hAnsi="宋体" w:eastAsia="仿宋_GB2312"/>
          <w:sz w:val="32"/>
          <w:szCs w:val="32"/>
        </w:rPr>
        <w:tab/>
      </w:r>
      <w:r>
        <w:rPr>
          <w:rFonts w:hint="eastAsia" w:ascii="仿宋_GB2312" w:hAnsi="宋体" w:eastAsia="仿宋_GB2312"/>
          <w:sz w:val="32"/>
          <w:szCs w:val="32"/>
        </w:rPr>
        <w:t>《中华人民共和国旅游法》</w:t>
      </w:r>
    </w:p>
    <w:p>
      <w:pPr>
        <w:tabs>
          <w:tab w:val="left" w:pos="900"/>
        </w:tabs>
        <w:adjustRightInd w:val="0"/>
        <w:snapToGrid w:val="0"/>
        <w:spacing w:line="560" w:lineRule="exact"/>
        <w:ind w:firstLine="643" w:firstLineChars="200"/>
        <w:rPr>
          <w:rFonts w:hint="eastAsia" w:ascii="仿宋_GB2312" w:hAnsi="宋体" w:eastAsia="仿宋_GB2312"/>
          <w:sz w:val="32"/>
          <w:szCs w:val="32"/>
        </w:rPr>
      </w:pPr>
      <w:r>
        <w:rPr>
          <w:rFonts w:hint="eastAsia" w:ascii="仿宋_GB2312" w:hAnsi="宋体" w:eastAsia="仿宋_GB2312"/>
          <w:b/>
          <w:bCs/>
          <w:sz w:val="32"/>
          <w:szCs w:val="32"/>
          <w:lang w:eastAsia="zh-CN"/>
        </w:rPr>
        <w:t>设立依据</w:t>
      </w:r>
      <w:r>
        <w:rPr>
          <w:rFonts w:hint="eastAsia" w:ascii="仿宋_GB2312" w:hAnsi="宋体" w:eastAsia="仿宋_GB2312"/>
          <w:b/>
          <w:bCs/>
          <w:sz w:val="32"/>
          <w:szCs w:val="32"/>
          <w:lang w:val="en-US" w:eastAsia="zh-CN"/>
        </w:rPr>
        <w:t xml:space="preserve">2 </w:t>
      </w:r>
      <w:r>
        <w:rPr>
          <w:rFonts w:hint="eastAsia" w:ascii="仿宋_GB2312" w:hAnsi="宋体" w:eastAsia="仿宋_GB2312"/>
          <w:sz w:val="32"/>
          <w:szCs w:val="32"/>
        </w:rPr>
        <w:t>依据文号</w:t>
      </w:r>
      <w:r>
        <w:rPr>
          <w:rFonts w:hint="eastAsia" w:ascii="仿宋_GB2312" w:hAnsi="宋体" w:eastAsia="仿宋_GB2312"/>
          <w:sz w:val="32"/>
          <w:szCs w:val="32"/>
        </w:rPr>
        <w:tab/>
      </w:r>
      <w:r>
        <w:rPr>
          <w:rFonts w:hint="eastAsia" w:ascii="仿宋_GB2312" w:hAnsi="宋体" w:eastAsia="仿宋_GB2312"/>
          <w:sz w:val="32"/>
          <w:szCs w:val="32"/>
        </w:rPr>
        <w:t>2016年11月7日</w:t>
      </w:r>
    </w:p>
    <w:p>
      <w:pPr>
        <w:tabs>
          <w:tab w:val="left" w:pos="900"/>
        </w:tabs>
        <w:adjustRightInd w:val="0"/>
        <w:snapToGrid w:val="0"/>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条款号</w:t>
      </w:r>
      <w:r>
        <w:rPr>
          <w:rFonts w:hint="eastAsia" w:ascii="仿宋_GB2312" w:hAnsi="宋体" w:eastAsia="仿宋_GB2312"/>
          <w:sz w:val="32"/>
          <w:szCs w:val="32"/>
        </w:rPr>
        <w:tab/>
      </w:r>
      <w:r>
        <w:rPr>
          <w:rFonts w:hint="eastAsia" w:ascii="仿宋_GB2312" w:hAnsi="宋体" w:eastAsia="仿宋_GB2312"/>
          <w:sz w:val="32"/>
          <w:szCs w:val="32"/>
        </w:rPr>
        <w:t>第二十九条</w:t>
      </w:r>
    </w:p>
    <w:p>
      <w:pPr>
        <w:tabs>
          <w:tab w:val="left" w:pos="900"/>
        </w:tabs>
        <w:adjustRightInd w:val="0"/>
        <w:snapToGrid w:val="0"/>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颁布机关</w:t>
      </w:r>
      <w:r>
        <w:rPr>
          <w:rFonts w:hint="eastAsia" w:ascii="仿宋_GB2312" w:hAnsi="宋体" w:eastAsia="仿宋_GB2312"/>
          <w:sz w:val="32"/>
          <w:szCs w:val="32"/>
        </w:rPr>
        <w:tab/>
      </w:r>
      <w:r>
        <w:rPr>
          <w:rFonts w:hint="eastAsia" w:ascii="仿宋_GB2312" w:hAnsi="宋体" w:eastAsia="仿宋_GB2312"/>
          <w:sz w:val="32"/>
          <w:szCs w:val="32"/>
        </w:rPr>
        <w:t>全国人民代表大会常务委员会</w:t>
      </w:r>
    </w:p>
    <w:p>
      <w:pPr>
        <w:tabs>
          <w:tab w:val="left" w:pos="900"/>
        </w:tabs>
        <w:adjustRightInd w:val="0"/>
        <w:snapToGrid w:val="0"/>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实施日期</w:t>
      </w:r>
      <w:r>
        <w:rPr>
          <w:rFonts w:hint="eastAsia" w:ascii="仿宋_GB2312" w:hAnsi="宋体" w:eastAsia="仿宋_GB2312"/>
          <w:sz w:val="32"/>
          <w:szCs w:val="32"/>
        </w:rPr>
        <w:tab/>
      </w:r>
      <w:r>
        <w:rPr>
          <w:rFonts w:hint="eastAsia" w:ascii="仿宋_GB2312" w:hAnsi="宋体" w:eastAsia="仿宋_GB2312"/>
          <w:sz w:val="32"/>
          <w:szCs w:val="32"/>
        </w:rPr>
        <w:t>2013-10-01</w:t>
      </w:r>
    </w:p>
    <w:p>
      <w:pPr>
        <w:tabs>
          <w:tab w:val="left" w:pos="900"/>
        </w:tabs>
        <w:adjustRightInd w:val="0"/>
        <w:snapToGrid w:val="0"/>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条款内容</w:t>
      </w:r>
      <w:r>
        <w:rPr>
          <w:rFonts w:hint="eastAsia" w:ascii="仿宋_GB2312" w:hAnsi="宋体" w:eastAsia="仿宋_GB2312"/>
          <w:sz w:val="32"/>
          <w:szCs w:val="32"/>
        </w:rPr>
        <w:tab/>
      </w:r>
    </w:p>
    <w:p>
      <w:pPr>
        <w:tabs>
          <w:tab w:val="left" w:pos="900"/>
        </w:tabs>
        <w:adjustRightInd w:val="0"/>
        <w:snapToGrid w:val="0"/>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旅行社可以经营下列业务： （一）境内旅游； （二）出境旅游； （三）边境旅游； （四）入境旅游； （五）其他旅游业务。 旅行社经营前款第二项和第三项业务，应当取得相应的业务经营许可，具体条件由国务院规定。</w:t>
      </w:r>
    </w:p>
    <w:p>
      <w:pPr>
        <w:tabs>
          <w:tab w:val="left" w:pos="900"/>
        </w:tabs>
        <w:adjustRightInd w:val="0"/>
        <w:snapToGrid w:val="0"/>
        <w:spacing w:line="560" w:lineRule="exact"/>
        <w:ind w:firstLine="640" w:firstLineChars="200"/>
        <w:rPr>
          <w:rFonts w:hint="eastAsia" w:ascii="仿宋_GB2312" w:hAnsi="宋体" w:eastAsia="仿宋_GB2312"/>
          <w:sz w:val="32"/>
          <w:szCs w:val="32"/>
        </w:rPr>
      </w:pPr>
    </w:p>
    <w:p>
      <w:pPr>
        <w:tabs>
          <w:tab w:val="left" w:pos="900"/>
        </w:tabs>
        <w:adjustRightInd w:val="0"/>
        <w:snapToGrid w:val="0"/>
        <w:spacing w:line="560" w:lineRule="exact"/>
        <w:ind w:firstLine="643" w:firstLineChars="200"/>
        <w:rPr>
          <w:rFonts w:hint="eastAsia" w:ascii="仿宋_GB2312" w:hAnsi="宋体" w:eastAsia="仿宋_GB2312"/>
          <w:sz w:val="32"/>
          <w:szCs w:val="32"/>
        </w:rPr>
      </w:pPr>
      <w:r>
        <w:rPr>
          <w:rFonts w:hint="eastAsia" w:ascii="仿宋_GB2312" w:hAnsi="宋体" w:eastAsia="仿宋_GB2312"/>
          <w:b/>
          <w:bCs/>
          <w:sz w:val="32"/>
          <w:szCs w:val="32"/>
        </w:rPr>
        <w:t>设立依据3</w:t>
      </w:r>
      <w:r>
        <w:rPr>
          <w:rFonts w:hint="eastAsia" w:ascii="仿宋_GB2312" w:hAnsi="宋体" w:eastAsia="仿宋_GB2312"/>
          <w:sz w:val="32"/>
          <w:szCs w:val="32"/>
        </w:rPr>
        <w:tab/>
      </w:r>
      <w:r>
        <w:rPr>
          <w:rFonts w:hint="eastAsia" w:ascii="仿宋_GB2312" w:hAnsi="宋体" w:eastAsia="仿宋_GB2312"/>
          <w:sz w:val="32"/>
          <w:szCs w:val="32"/>
        </w:rPr>
        <w:t>法律法规名称</w:t>
      </w:r>
      <w:r>
        <w:rPr>
          <w:rFonts w:hint="eastAsia" w:ascii="仿宋_GB2312" w:hAnsi="宋体" w:eastAsia="仿宋_GB2312"/>
          <w:sz w:val="32"/>
          <w:szCs w:val="32"/>
        </w:rPr>
        <w:tab/>
      </w:r>
      <w:r>
        <w:rPr>
          <w:rFonts w:hint="eastAsia" w:ascii="仿宋_GB2312" w:hAnsi="宋体" w:eastAsia="仿宋_GB2312"/>
          <w:sz w:val="32"/>
          <w:szCs w:val="32"/>
        </w:rPr>
        <w:t>《国家旅游局办公室关于落实内地与香港、澳门&lt;关于建立更紧密经贸关系安排补充协议九&gt;有关旅游措施的通知》</w:t>
      </w:r>
    </w:p>
    <w:p>
      <w:pPr>
        <w:tabs>
          <w:tab w:val="left" w:pos="900"/>
        </w:tabs>
        <w:adjustRightInd w:val="0"/>
        <w:snapToGrid w:val="0"/>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依据文号</w:t>
      </w:r>
      <w:r>
        <w:rPr>
          <w:rFonts w:hint="eastAsia" w:ascii="仿宋_GB2312" w:hAnsi="宋体" w:eastAsia="仿宋_GB2312"/>
          <w:sz w:val="32"/>
          <w:szCs w:val="32"/>
        </w:rPr>
        <w:tab/>
      </w:r>
      <w:r>
        <w:rPr>
          <w:rFonts w:hint="eastAsia" w:ascii="仿宋_GB2312" w:hAnsi="宋体" w:eastAsia="仿宋_GB2312"/>
          <w:sz w:val="32"/>
          <w:szCs w:val="32"/>
        </w:rPr>
        <w:t>（旅办发〔2012〕566号）</w:t>
      </w:r>
    </w:p>
    <w:p>
      <w:pPr>
        <w:tabs>
          <w:tab w:val="left" w:pos="900"/>
        </w:tabs>
        <w:adjustRightInd w:val="0"/>
        <w:snapToGrid w:val="0"/>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条款号</w:t>
      </w:r>
      <w:r>
        <w:rPr>
          <w:rFonts w:hint="eastAsia" w:ascii="仿宋_GB2312" w:hAnsi="宋体" w:eastAsia="仿宋_GB2312"/>
          <w:sz w:val="32"/>
          <w:szCs w:val="32"/>
        </w:rPr>
        <w:tab/>
      </w:r>
      <w:r>
        <w:rPr>
          <w:rFonts w:hint="eastAsia" w:ascii="仿宋_GB2312" w:hAnsi="宋体" w:eastAsia="仿宋_GB2312"/>
          <w:sz w:val="32"/>
          <w:szCs w:val="32"/>
        </w:rPr>
        <w:t>第一条</w:t>
      </w:r>
    </w:p>
    <w:p>
      <w:pPr>
        <w:tabs>
          <w:tab w:val="left" w:pos="900"/>
        </w:tabs>
        <w:adjustRightInd w:val="0"/>
        <w:snapToGrid w:val="0"/>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颁布机关</w:t>
      </w:r>
      <w:r>
        <w:rPr>
          <w:rFonts w:hint="eastAsia" w:ascii="仿宋_GB2312" w:hAnsi="宋体" w:eastAsia="仿宋_GB2312"/>
          <w:sz w:val="32"/>
          <w:szCs w:val="32"/>
        </w:rPr>
        <w:tab/>
      </w:r>
      <w:r>
        <w:rPr>
          <w:rFonts w:hint="eastAsia" w:ascii="仿宋_GB2312" w:hAnsi="宋体" w:eastAsia="仿宋_GB2312"/>
          <w:sz w:val="32"/>
          <w:szCs w:val="32"/>
        </w:rPr>
        <w:t>国家旅游局</w:t>
      </w:r>
    </w:p>
    <w:p>
      <w:pPr>
        <w:tabs>
          <w:tab w:val="left" w:pos="900"/>
        </w:tabs>
        <w:adjustRightInd w:val="0"/>
        <w:snapToGrid w:val="0"/>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实施日期</w:t>
      </w:r>
      <w:r>
        <w:rPr>
          <w:rFonts w:hint="eastAsia" w:ascii="仿宋_GB2312" w:hAnsi="宋体" w:eastAsia="仿宋_GB2312"/>
          <w:sz w:val="32"/>
          <w:szCs w:val="32"/>
        </w:rPr>
        <w:tab/>
      </w:r>
      <w:r>
        <w:rPr>
          <w:rFonts w:hint="eastAsia" w:ascii="仿宋_GB2312" w:hAnsi="宋体" w:eastAsia="仿宋_GB2312"/>
          <w:sz w:val="32"/>
          <w:szCs w:val="32"/>
        </w:rPr>
        <w:t>2012-12-19</w:t>
      </w:r>
    </w:p>
    <w:p>
      <w:pPr>
        <w:tabs>
          <w:tab w:val="left" w:pos="900"/>
        </w:tabs>
        <w:adjustRightInd w:val="0"/>
        <w:snapToGrid w:val="0"/>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条款内容</w:t>
      </w:r>
      <w:r>
        <w:rPr>
          <w:rFonts w:hint="eastAsia" w:ascii="仿宋_GB2312" w:hAnsi="宋体" w:eastAsia="仿宋_GB2312"/>
          <w:sz w:val="32"/>
          <w:szCs w:val="32"/>
        </w:rPr>
        <w:tab/>
      </w:r>
    </w:p>
    <w:p>
      <w:pPr>
        <w:adjustRightInd w:val="0"/>
        <w:snapToGrid w:val="0"/>
        <w:spacing w:line="560" w:lineRule="exact"/>
        <w:ind w:firstLine="0" w:firstLineChars="0"/>
        <w:rPr>
          <w:rFonts w:hint="eastAsia" w:ascii="黑体" w:hAnsi="黑体" w:eastAsia="黑体"/>
          <w:bCs/>
          <w:sz w:val="32"/>
          <w:szCs w:val="32"/>
        </w:rPr>
      </w:pPr>
      <w:r>
        <w:rPr>
          <w:rFonts w:hint="eastAsia" w:ascii="仿宋_GB2312" w:hAnsi="宋体" w:eastAsia="仿宋_GB2312"/>
          <w:sz w:val="32"/>
          <w:szCs w:val="32"/>
        </w:rPr>
        <w:t>一、在内地设立的香港、澳门独资或合资旅行社，可以申请经营旅行社所在地省、自治区、直辖市正式户籍的居民前往香港、澳门的团队旅游业务。具体许可条件和程序等按照《旅行社条例》和《中外合资经营旅行社试点经营出境旅游业务监管暂行办法》（国家旅游局、商务部令第33号）的有关规定执行。</w:t>
      </w:r>
    </w:p>
    <w:p>
      <w:pPr>
        <w:adjustRightInd w:val="0"/>
        <w:snapToGrid w:val="0"/>
        <w:spacing w:line="560" w:lineRule="exact"/>
        <w:ind w:firstLine="640" w:firstLineChars="200"/>
        <w:rPr>
          <w:rFonts w:hint="eastAsia" w:ascii="黑体" w:hAnsi="宋体" w:eastAsia="黑体"/>
          <w:sz w:val="32"/>
          <w:szCs w:val="32"/>
        </w:rPr>
      </w:pPr>
      <w:r>
        <w:rPr>
          <w:rFonts w:hint="eastAsia" w:ascii="黑体" w:hAnsi="黑体" w:eastAsia="黑体"/>
          <w:bCs/>
          <w:sz w:val="32"/>
          <w:szCs w:val="32"/>
        </w:rPr>
        <w:t>四、实施机关</w:t>
      </w:r>
    </w:p>
    <w:p>
      <w:pPr>
        <w:snapToGrid w:val="0"/>
        <w:spacing w:line="56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实施主体</w:t>
      </w:r>
      <w:r>
        <w:rPr>
          <w:rFonts w:hint="eastAsia" w:ascii="仿宋_GB2312" w:hAnsi="宋体" w:eastAsia="仿宋_GB2312"/>
          <w:sz w:val="32"/>
          <w:szCs w:val="32"/>
          <w:lang w:val="en-US" w:eastAsia="zh-CN"/>
        </w:rPr>
        <w:tab/>
      </w:r>
      <w:r>
        <w:rPr>
          <w:rFonts w:hint="eastAsia" w:ascii="仿宋_GB2312" w:hAnsi="仿宋_GB2312" w:eastAsia="仿宋_GB2312" w:cs="仿宋_GB2312"/>
          <w:sz w:val="32"/>
          <w:szCs w:val="32"/>
          <w:lang w:eastAsia="zh-CN"/>
        </w:rPr>
        <w:t>省文化和旅游厅委托各</w:t>
      </w:r>
      <w:r>
        <w:rPr>
          <w:rFonts w:hint="eastAsia" w:ascii="仿宋_GB2312" w:hAnsi="仿宋_GB2312" w:eastAsia="仿宋_GB2312" w:cs="仿宋_GB2312"/>
          <w:sz w:val="32"/>
          <w:szCs w:val="32"/>
        </w:rPr>
        <w:t>地级以上市</w:t>
      </w:r>
      <w:r>
        <w:rPr>
          <w:rFonts w:hint="eastAsia" w:ascii="仿宋_GB2312" w:hAnsi="仿宋_GB2312" w:eastAsia="仿宋_GB2312" w:cs="仿宋_GB2312"/>
          <w:sz w:val="32"/>
          <w:szCs w:val="32"/>
          <w:lang w:eastAsia="zh-CN"/>
        </w:rPr>
        <w:t>文化和旅游行政部门实施</w:t>
      </w:r>
      <w:r>
        <w:rPr>
          <w:rFonts w:hint="eastAsia" w:ascii="仿宋_GB2312" w:hAnsi="宋体" w:eastAsia="仿宋_GB2312"/>
          <w:sz w:val="32"/>
          <w:szCs w:val="32"/>
          <w:lang w:val="en-US" w:eastAsia="zh-CN"/>
        </w:rPr>
        <w:t>。</w:t>
      </w:r>
      <w:r>
        <w:rPr>
          <w:rFonts w:hint="eastAsia" w:ascii="仿宋_GB2312" w:hAnsi="宋体" w:eastAsia="仿宋_GB2312"/>
          <w:sz w:val="32"/>
          <w:szCs w:val="32"/>
          <w:lang w:val="en-US" w:eastAsia="zh-CN"/>
        </w:rPr>
        <w:tab/>
      </w:r>
    </w:p>
    <w:p>
      <w:pPr>
        <w:snapToGrid w:val="0"/>
        <w:spacing w:line="560" w:lineRule="exact"/>
        <w:ind w:firstLine="640" w:firstLineChars="200"/>
        <w:rPr>
          <w:rFonts w:hint="eastAsia" w:ascii="黑体" w:eastAsia="黑体"/>
          <w:sz w:val="32"/>
          <w:szCs w:val="32"/>
        </w:rPr>
      </w:pPr>
      <w:r>
        <w:rPr>
          <w:rFonts w:hint="eastAsia" w:ascii="黑体" w:hAnsi="黑体" w:eastAsia="黑体"/>
          <w:sz w:val="32"/>
          <w:szCs w:val="32"/>
        </w:rPr>
        <w:t>五、审批条件</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 xml:space="preserve">满足所列出的的全部申请条件才可申请： </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 xml:space="preserve">（一）注册地在广东省内； </w:t>
      </w:r>
    </w:p>
    <w:p>
      <w:pPr>
        <w:pStyle w:val="7"/>
        <w:snapToGrid w:val="0"/>
        <w:spacing w:line="560" w:lineRule="exact"/>
        <w:ind w:firstLine="640" w:firstLineChars="200"/>
        <w:rPr>
          <w:rFonts w:hint="default" w:ascii="黑体" w:hAnsi="黑体" w:eastAsia="黑体"/>
          <w:sz w:val="32"/>
          <w:szCs w:val="32"/>
          <w:lang w:val="en-US" w:eastAsia="zh-CN"/>
        </w:rPr>
      </w:pPr>
      <w:r>
        <w:rPr>
          <w:rFonts w:hint="eastAsia" w:ascii="仿宋_GB2312" w:hAnsi="宋体" w:eastAsia="仿宋_GB2312"/>
          <w:sz w:val="32"/>
          <w:szCs w:val="32"/>
        </w:rPr>
        <w:t>（二）旅行社取得经营许可满两年，且未因侵害旅游者合法权益受到行政机关罚款以上处罚</w:t>
      </w:r>
    </w:p>
    <w:p>
      <w:pPr>
        <w:pStyle w:val="7"/>
        <w:snapToGrid w:val="0"/>
        <w:spacing w:line="560" w:lineRule="exact"/>
        <w:ind w:firstLine="640"/>
        <w:rPr>
          <w:rFonts w:hint="eastAsia" w:ascii="黑体" w:hAnsi="黑体" w:eastAsia="黑体"/>
          <w:sz w:val="32"/>
          <w:szCs w:val="32"/>
        </w:rPr>
      </w:pPr>
      <w:r>
        <w:rPr>
          <w:rFonts w:hint="eastAsia" w:ascii="黑体" w:hAnsi="黑体" w:eastAsia="黑体"/>
          <w:sz w:val="32"/>
          <w:szCs w:val="32"/>
          <w:lang w:eastAsia="zh-CN"/>
        </w:rPr>
        <w:t>六</w:t>
      </w:r>
      <w:r>
        <w:rPr>
          <w:rFonts w:hint="eastAsia" w:ascii="黑体" w:hAnsi="黑体" w:eastAsia="黑体"/>
          <w:sz w:val="32"/>
          <w:szCs w:val="32"/>
        </w:rPr>
        <w:t>、审批数量</w:t>
      </w:r>
    </w:p>
    <w:p>
      <w:pPr>
        <w:pStyle w:val="7"/>
        <w:snapToGrid w:val="0"/>
        <w:spacing w:line="560" w:lineRule="exact"/>
        <w:ind w:firstLine="640"/>
        <w:rPr>
          <w:rFonts w:hint="eastAsia" w:ascii="仿宋_GB2312" w:eastAsia="仿宋_GB2312"/>
          <w:sz w:val="32"/>
          <w:szCs w:val="32"/>
        </w:rPr>
      </w:pPr>
      <w:r>
        <w:rPr>
          <w:rFonts w:hint="eastAsia" w:ascii="仿宋_GB2312" w:eastAsia="仿宋_GB2312"/>
          <w:sz w:val="32"/>
          <w:szCs w:val="32"/>
        </w:rPr>
        <w:t>无数量限制</w:t>
      </w:r>
    </w:p>
    <w:p>
      <w:pPr>
        <w:pStyle w:val="7"/>
        <w:tabs>
          <w:tab w:val="left" w:pos="2325"/>
          <w:tab w:val="clear" w:pos="4201"/>
          <w:tab w:val="clear" w:pos="9298"/>
        </w:tabs>
        <w:snapToGrid w:val="0"/>
        <w:spacing w:line="560" w:lineRule="exact"/>
        <w:ind w:firstLine="640"/>
        <w:rPr>
          <w:rFonts w:hint="eastAsia" w:ascii="黑体" w:hAnsi="宋体" w:eastAsia="黑体"/>
          <w:sz w:val="32"/>
          <w:szCs w:val="32"/>
        </w:rPr>
      </w:pPr>
      <w:r>
        <w:rPr>
          <w:rFonts w:hint="eastAsia" w:ascii="黑体" w:hAnsi="黑体" w:eastAsia="黑体"/>
          <w:sz w:val="32"/>
          <w:szCs w:val="32"/>
          <w:lang w:eastAsia="zh-CN"/>
        </w:rPr>
        <w:t>七</w:t>
      </w:r>
      <w:r>
        <w:rPr>
          <w:rFonts w:hint="eastAsia" w:ascii="黑体" w:hAnsi="黑体" w:eastAsia="黑体"/>
          <w:sz w:val="32"/>
          <w:szCs w:val="32"/>
        </w:rPr>
        <w:t>、申请材料</w:t>
      </w:r>
    </w:p>
    <w:p>
      <w:pPr>
        <w:spacing w:line="560" w:lineRule="exact"/>
        <w:ind w:firstLine="643" w:firstLineChars="200"/>
        <w:rPr>
          <w:rFonts w:hint="eastAsia" w:ascii="楷体_GB2312" w:hAnsi="宋体" w:eastAsia="楷体_GB2312"/>
          <w:b/>
          <w:sz w:val="32"/>
          <w:szCs w:val="32"/>
        </w:rPr>
      </w:pPr>
      <w:r>
        <w:rPr>
          <w:rFonts w:hint="eastAsia" w:ascii="楷体_GB2312" w:hAnsi="宋体" w:eastAsia="楷体_GB2312"/>
          <w:b/>
          <w:sz w:val="32"/>
          <w:szCs w:val="32"/>
        </w:rPr>
        <w:t>（一）提交申请</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申请人需通过</w:t>
      </w:r>
      <w:r>
        <w:rPr>
          <w:rFonts w:hint="eastAsia" w:ascii="仿宋_GB2312" w:hAnsi="宋体" w:eastAsia="仿宋_GB2312"/>
          <w:sz w:val="32"/>
          <w:szCs w:val="32"/>
          <w:lang w:eastAsia="zh-CN"/>
        </w:rPr>
        <w:t>广东省政务服务网</w:t>
      </w:r>
      <w:r>
        <w:rPr>
          <w:rFonts w:hint="eastAsia" w:ascii="仿宋_GB2312" w:hAnsi="宋体" w:eastAsia="仿宋_GB2312"/>
          <w:sz w:val="32"/>
          <w:szCs w:val="32"/>
        </w:rPr>
        <w:t>(http://</w:t>
      </w:r>
      <w:r>
        <w:rPr>
          <w:rFonts w:hint="eastAsia" w:ascii="仿宋_GB2312" w:hAnsi="宋体" w:eastAsia="仿宋_GB2312"/>
          <w:sz w:val="32"/>
          <w:szCs w:val="32"/>
          <w:lang w:val="en-US" w:eastAsia="zh-CN"/>
        </w:rPr>
        <w:t>www.gdzwfw</w:t>
      </w:r>
      <w:r>
        <w:rPr>
          <w:rFonts w:hint="eastAsia" w:ascii="仿宋_GB2312" w:hAnsi="宋体" w:eastAsia="仿宋_GB2312"/>
          <w:sz w:val="32"/>
          <w:szCs w:val="32"/>
        </w:rPr>
        <w:t>.gov.cn)提交申请材料，待网上审核通过后，将通知申请人到受理窗口提交纸质材料</w:t>
      </w:r>
      <w:r>
        <w:rPr>
          <w:rFonts w:hint="eastAsia" w:ascii="仿宋_GB2312" w:hAnsi="宋体" w:eastAsia="仿宋_GB2312"/>
          <w:sz w:val="32"/>
          <w:szCs w:val="32"/>
          <w:lang w:eastAsia="zh-CN"/>
        </w:rPr>
        <w:t>。</w:t>
      </w:r>
      <w:r>
        <w:rPr>
          <w:rFonts w:hint="eastAsia" w:ascii="仿宋_GB2312" w:hAnsi="宋体" w:eastAsia="仿宋_GB2312"/>
          <w:sz w:val="32"/>
          <w:szCs w:val="32"/>
        </w:rPr>
        <w:t>材料需符合以下要求：</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1.申报资料按本办事指南材料清单规定的顺序排列，装订成册；</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2.申请材料的复印件应清晰，与网上提交材料一致，并加盖公司章；</w:t>
      </w:r>
    </w:p>
    <w:p>
      <w:pPr>
        <w:snapToGrid w:val="0"/>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3.所有材料为A4大小，有特殊规定除外；</w:t>
      </w:r>
    </w:p>
    <w:p>
      <w:pPr>
        <w:snapToGrid w:val="0"/>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4.由委托代理人提交的，应出具申请行政许可委托书及代理人身份证明复印件。</w:t>
      </w:r>
    </w:p>
    <w:p>
      <w:pPr>
        <w:spacing w:line="560" w:lineRule="exact"/>
        <w:ind w:firstLine="643" w:firstLineChars="200"/>
        <w:rPr>
          <w:rFonts w:hint="eastAsia" w:ascii="楷体_GB2312" w:hAnsi="宋体" w:eastAsia="楷体_GB2312"/>
          <w:b/>
          <w:sz w:val="32"/>
          <w:szCs w:val="32"/>
        </w:rPr>
      </w:pPr>
      <w:r>
        <w:rPr>
          <w:rFonts w:hint="eastAsia" w:ascii="楷体_GB2312" w:hAnsi="宋体" w:eastAsia="楷体_GB2312"/>
          <w:b/>
          <w:sz w:val="32"/>
          <w:szCs w:val="32"/>
        </w:rPr>
        <w:t>（二）材料清单</w:t>
      </w:r>
    </w:p>
    <w:p>
      <w:pPr>
        <w:spacing w:line="560" w:lineRule="exact"/>
        <w:ind w:firstLine="643" w:firstLineChars="200"/>
        <w:rPr>
          <w:rFonts w:hint="eastAsia" w:ascii="楷体_GB2312" w:hAnsi="宋体" w:eastAsia="楷体_GB2312"/>
          <w:b/>
          <w:sz w:val="32"/>
          <w:szCs w:val="32"/>
        </w:rPr>
      </w:pPr>
      <w:r>
        <w:rPr>
          <w:rFonts w:hint="eastAsia" w:ascii="楷体_GB2312" w:hAnsi="宋体" w:eastAsia="楷体_GB2312"/>
          <w:b/>
          <w:sz w:val="32"/>
          <w:szCs w:val="32"/>
        </w:rPr>
        <w:t>1.设立</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(1)试点经营广东省居民赴港澳团队旅游申请书 </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(2)《旅行社业务经营许可证》复印件</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(3)《企业法人营业执照》复印件</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(4)企业章程或章程修正案</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(5)增存质量保证金承诺书</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(6)申请试点经营广东省居民赴港澳团队旅游业务承诺书</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（7）经营旅行社业务满两年，且连续两年未因侵害旅游者合法权益收到旅游主管部门罚款以上处罚承诺书</w:t>
      </w:r>
    </w:p>
    <w:p>
      <w:pPr>
        <w:numPr>
          <w:ilvl w:val="0"/>
          <w:numId w:val="1"/>
        </w:numPr>
        <w:spacing w:line="560" w:lineRule="exact"/>
        <w:ind w:firstLine="640" w:firstLineChars="200"/>
        <w:rPr>
          <w:rFonts w:hint="eastAsia" w:ascii="黑体" w:hAnsi="黑体" w:eastAsia="黑体"/>
          <w:sz w:val="32"/>
          <w:szCs w:val="32"/>
          <w:lang w:eastAsia="zh-CN"/>
        </w:rPr>
      </w:pPr>
      <w:r>
        <w:rPr>
          <w:rFonts w:hint="eastAsia" w:ascii="黑体" w:hAnsi="黑体" w:eastAsia="黑体"/>
          <w:sz w:val="32"/>
          <w:szCs w:val="32"/>
          <w:lang w:eastAsia="zh-CN"/>
        </w:rPr>
        <w:t>实地检查</w:t>
      </w:r>
    </w:p>
    <w:p>
      <w:pPr>
        <w:numPr>
          <w:ilvl w:val="0"/>
          <w:numId w:val="0"/>
        </w:numPr>
        <w:spacing w:line="560" w:lineRule="exact"/>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申请材料经初审后</w:t>
      </w:r>
      <w:r>
        <w:rPr>
          <w:rFonts w:hint="eastAsia" w:ascii="仿宋_GB2312" w:hAnsi="仿宋_GB2312" w:eastAsia="仿宋_GB2312"/>
          <w:sz w:val="32"/>
          <w:szCs w:val="32"/>
        </w:rPr>
        <w:t>，</w:t>
      </w:r>
      <w:r>
        <w:rPr>
          <w:rFonts w:hint="eastAsia" w:ascii="仿宋_GB2312" w:hAnsi="仿宋_GB2312" w:eastAsia="仿宋_GB2312"/>
          <w:sz w:val="32"/>
          <w:szCs w:val="32"/>
          <w:lang w:eastAsia="zh-CN"/>
        </w:rPr>
        <w:t>审批部门可根据情况采取要求企业提供专业人员社保缴纳证明、查看设备购买租赁合同、现场勘查等辅助审批手段，查看申报企业实际情况是否符合条件。</w:t>
      </w:r>
    </w:p>
    <w:p>
      <w:pPr>
        <w:spacing w:line="560" w:lineRule="exact"/>
        <w:ind w:firstLine="640" w:firstLineChars="200"/>
        <w:rPr>
          <w:rFonts w:hint="eastAsia" w:ascii="黑体" w:hAnsi="宋体" w:eastAsia="黑体"/>
          <w:sz w:val="32"/>
          <w:szCs w:val="32"/>
        </w:rPr>
      </w:pPr>
      <w:r>
        <w:rPr>
          <w:rFonts w:hint="eastAsia" w:ascii="黑体" w:hAnsi="黑体" w:eastAsia="黑体"/>
          <w:sz w:val="32"/>
          <w:szCs w:val="32"/>
          <w:lang w:eastAsia="zh-CN"/>
        </w:rPr>
        <w:t>十</w:t>
      </w:r>
      <w:r>
        <w:rPr>
          <w:rFonts w:hint="eastAsia" w:ascii="黑体" w:hAnsi="黑体" w:eastAsia="黑体"/>
          <w:sz w:val="32"/>
          <w:szCs w:val="32"/>
        </w:rPr>
        <w:t>、审批时限</w:t>
      </w:r>
    </w:p>
    <w:p>
      <w:pPr>
        <w:spacing w:line="560" w:lineRule="exact"/>
        <w:ind w:firstLine="640" w:firstLineChars="200"/>
        <w:rPr>
          <w:rFonts w:hint="eastAsia" w:ascii="仿宋_GB2312" w:eastAsia="仿宋_GB2312"/>
          <w:sz w:val="32"/>
          <w:szCs w:val="32"/>
        </w:rPr>
      </w:pPr>
      <w:r>
        <w:rPr>
          <w:rFonts w:hint="eastAsia" w:ascii="仿宋_GB2312" w:hAnsi="宋体" w:eastAsia="仿宋_GB2312"/>
          <w:sz w:val="32"/>
          <w:szCs w:val="32"/>
        </w:rPr>
        <w:t>受理期限：5日内受理。</w:t>
      </w:r>
      <w:r>
        <w:rPr>
          <w:rFonts w:hint="eastAsia" w:ascii="仿宋_GB2312" w:eastAsia="仿宋_GB2312"/>
          <w:sz w:val="32"/>
          <w:szCs w:val="32"/>
        </w:rPr>
        <w:t>申报材料符合受理条件的，5日内予以受理；不符合条件的，</w:t>
      </w:r>
      <w:r>
        <w:rPr>
          <w:rFonts w:hint="eastAsia" w:ascii="仿宋_GB2312" w:hAnsi="宋体" w:eastAsia="仿宋_GB2312"/>
          <w:sz w:val="32"/>
          <w:szCs w:val="32"/>
        </w:rPr>
        <w:t>5日内</w:t>
      </w:r>
      <w:r>
        <w:rPr>
          <w:rFonts w:hint="eastAsia" w:ascii="仿宋_GB2312" w:eastAsia="仿宋_GB2312"/>
          <w:sz w:val="32"/>
          <w:szCs w:val="32"/>
        </w:rPr>
        <w:t xml:space="preserve">一次性告知相对人；超过5日未予答复的，视为受理。 </w:t>
      </w:r>
    </w:p>
    <w:p>
      <w:pPr>
        <w:pStyle w:val="7"/>
        <w:snapToGrid w:val="0"/>
        <w:spacing w:line="560" w:lineRule="exact"/>
        <w:ind w:firstLine="640"/>
        <w:rPr>
          <w:rFonts w:hint="eastAsia" w:ascii="仿宋_GB2312" w:hAnsi="宋体" w:eastAsia="仿宋_GB2312"/>
          <w:sz w:val="32"/>
          <w:szCs w:val="32"/>
        </w:rPr>
      </w:pPr>
      <w:r>
        <w:rPr>
          <w:rFonts w:hint="eastAsia" w:ascii="仿宋_GB2312" w:eastAsia="仿宋_GB2312"/>
          <w:sz w:val="32"/>
          <w:szCs w:val="32"/>
        </w:rPr>
        <w:t>办理期限：自受理之日起20日内</w:t>
      </w:r>
      <w:r>
        <w:rPr>
          <w:rFonts w:hint="eastAsia" w:ascii="仿宋_GB2312" w:hAnsi="宋体" w:eastAsia="仿宋_GB2312"/>
          <w:sz w:val="32"/>
          <w:szCs w:val="32"/>
        </w:rPr>
        <w:t>。</w:t>
      </w:r>
    </w:p>
    <w:p>
      <w:pPr>
        <w:pStyle w:val="7"/>
        <w:snapToGrid w:val="0"/>
        <w:spacing w:line="560" w:lineRule="exact"/>
        <w:ind w:firstLine="64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承诺办结时限：1个工作日</w:t>
      </w:r>
    </w:p>
    <w:p>
      <w:pPr>
        <w:pStyle w:val="7"/>
        <w:snapToGrid w:val="0"/>
        <w:spacing w:line="560" w:lineRule="exact"/>
        <w:ind w:firstLine="640"/>
        <w:rPr>
          <w:rFonts w:hint="eastAsia" w:ascii="仿宋_GB2312" w:hAnsi="宋体" w:eastAsia="仿宋_GB2312"/>
          <w:sz w:val="32"/>
          <w:szCs w:val="32"/>
        </w:rPr>
      </w:pPr>
    </w:p>
    <w:p>
      <w:pPr>
        <w:pStyle w:val="7"/>
        <w:snapToGrid w:val="0"/>
        <w:spacing w:line="560" w:lineRule="exact"/>
        <w:ind w:firstLine="640"/>
        <w:rPr>
          <w:rFonts w:hint="eastAsia" w:ascii="黑体" w:hAnsi="宋体" w:eastAsia="黑体"/>
          <w:sz w:val="32"/>
          <w:szCs w:val="32"/>
        </w:rPr>
      </w:pPr>
      <w:r>
        <w:rPr>
          <w:rFonts w:hint="eastAsia" w:ascii="黑体" w:hAnsi="黑体" w:eastAsia="黑体"/>
          <w:sz w:val="32"/>
          <w:szCs w:val="32"/>
        </w:rPr>
        <w:t>十</w:t>
      </w:r>
      <w:r>
        <w:rPr>
          <w:rFonts w:hint="eastAsia" w:ascii="黑体" w:hAnsi="黑体" w:eastAsia="黑体"/>
          <w:sz w:val="32"/>
          <w:szCs w:val="32"/>
          <w:lang w:eastAsia="zh-CN"/>
        </w:rPr>
        <w:t>一</w:t>
      </w:r>
      <w:r>
        <w:rPr>
          <w:rFonts w:hint="eastAsia" w:ascii="黑体" w:hAnsi="黑体" w:eastAsia="黑体"/>
          <w:sz w:val="32"/>
          <w:szCs w:val="32"/>
        </w:rPr>
        <w:t>、批准证件</w:t>
      </w:r>
    </w:p>
    <w:p>
      <w:pPr>
        <w:pStyle w:val="7"/>
        <w:snapToGrid w:val="0"/>
        <w:spacing w:line="560" w:lineRule="exact"/>
        <w:ind w:firstLine="640"/>
        <w:rPr>
          <w:rFonts w:hint="eastAsia" w:ascii="黑体" w:hAnsi="黑体" w:eastAsia="黑体"/>
          <w:sz w:val="32"/>
          <w:szCs w:val="32"/>
        </w:rPr>
      </w:pPr>
      <w:r>
        <w:rPr>
          <w:rFonts w:hint="eastAsia" w:ascii="仿宋_GB2312" w:hAnsi="宋体" w:eastAsia="仿宋_GB2312"/>
          <w:sz w:val="32"/>
          <w:szCs w:val="32"/>
        </w:rPr>
        <w:t>旅行社业务经营许可证</w:t>
      </w:r>
    </w:p>
    <w:p>
      <w:pPr>
        <w:pStyle w:val="7"/>
        <w:snapToGrid w:val="0"/>
        <w:spacing w:line="560" w:lineRule="exact"/>
        <w:ind w:firstLine="640"/>
        <w:rPr>
          <w:rFonts w:hint="eastAsia" w:ascii="黑体" w:hAnsi="宋体" w:eastAsia="黑体"/>
          <w:sz w:val="32"/>
          <w:szCs w:val="32"/>
        </w:rPr>
      </w:pPr>
      <w:r>
        <w:rPr>
          <w:rFonts w:hint="eastAsia" w:ascii="黑体" w:hAnsi="黑体" w:eastAsia="黑体"/>
          <w:sz w:val="32"/>
          <w:szCs w:val="32"/>
        </w:rPr>
        <w:t>十</w:t>
      </w:r>
      <w:r>
        <w:rPr>
          <w:rFonts w:hint="eastAsia" w:ascii="黑体" w:hAnsi="黑体" w:eastAsia="黑体"/>
          <w:sz w:val="32"/>
          <w:szCs w:val="32"/>
          <w:lang w:eastAsia="zh-CN"/>
        </w:rPr>
        <w:t>二</w:t>
      </w:r>
      <w:r>
        <w:rPr>
          <w:rFonts w:hint="eastAsia" w:ascii="黑体" w:hAnsi="黑体" w:eastAsia="黑体"/>
          <w:sz w:val="32"/>
          <w:szCs w:val="32"/>
        </w:rPr>
        <w:t>、收费依据及标准</w:t>
      </w:r>
    </w:p>
    <w:p>
      <w:pPr>
        <w:pStyle w:val="7"/>
        <w:snapToGrid w:val="0"/>
        <w:spacing w:line="560" w:lineRule="exact"/>
        <w:ind w:firstLine="640"/>
        <w:rPr>
          <w:rFonts w:hint="eastAsia" w:ascii="仿宋_GB2312" w:hAnsi="宋体" w:eastAsia="仿宋_GB2312"/>
          <w:sz w:val="32"/>
          <w:szCs w:val="32"/>
        </w:rPr>
      </w:pPr>
      <w:r>
        <w:rPr>
          <w:rFonts w:hint="eastAsia" w:ascii="仿宋_GB2312" w:hAnsi="宋体" w:eastAsia="仿宋_GB2312"/>
          <w:sz w:val="32"/>
          <w:szCs w:val="32"/>
        </w:rPr>
        <w:t>不收费。</w:t>
      </w:r>
    </w:p>
    <w:p>
      <w:pPr>
        <w:spacing w:line="560" w:lineRule="exact"/>
        <w:ind w:firstLine="640" w:firstLineChars="200"/>
        <w:rPr>
          <w:rFonts w:hint="eastAsia" w:ascii="仿宋_GB2312" w:hAnsi="宋体" w:eastAsia="仿宋_GB2312"/>
          <w:sz w:val="32"/>
          <w:szCs w:val="32"/>
        </w:rPr>
      </w:pPr>
      <w:r>
        <w:rPr>
          <w:rFonts w:hint="eastAsia" w:ascii="黑体" w:hAnsi="宋体" w:eastAsia="黑体"/>
          <w:sz w:val="32"/>
          <w:szCs w:val="32"/>
        </w:rPr>
        <w:t>十</w:t>
      </w:r>
      <w:r>
        <w:rPr>
          <w:rFonts w:hint="eastAsia" w:ascii="黑体" w:hAnsi="宋体" w:eastAsia="黑体"/>
          <w:sz w:val="32"/>
          <w:szCs w:val="32"/>
          <w:lang w:eastAsia="zh-CN"/>
        </w:rPr>
        <w:t>三</w:t>
      </w:r>
      <w:r>
        <w:rPr>
          <w:rFonts w:hint="eastAsia" w:ascii="黑体" w:hAnsi="宋体" w:eastAsia="黑体"/>
          <w:sz w:val="32"/>
          <w:szCs w:val="32"/>
        </w:rPr>
        <w:t>、申请人权利和义务</w:t>
      </w:r>
    </w:p>
    <w:p>
      <w:pPr>
        <w:spacing w:line="560" w:lineRule="exact"/>
        <w:ind w:firstLine="643" w:firstLineChars="200"/>
        <w:rPr>
          <w:rFonts w:hint="eastAsia" w:ascii="仿宋_GB2312" w:hAnsi="宋体" w:eastAsia="仿宋_GB2312"/>
          <w:b/>
          <w:bCs/>
          <w:sz w:val="32"/>
          <w:szCs w:val="32"/>
        </w:rPr>
      </w:pPr>
      <w:r>
        <w:rPr>
          <w:rFonts w:hint="eastAsia" w:ascii="仿宋_GB2312" w:hAnsi="宋体" w:eastAsia="仿宋_GB2312"/>
          <w:b/>
          <w:bCs/>
          <w:sz w:val="32"/>
          <w:szCs w:val="32"/>
          <w:lang w:eastAsia="zh-CN"/>
        </w:rPr>
        <w:t>（一）</w:t>
      </w:r>
      <w:r>
        <w:rPr>
          <w:rFonts w:hint="eastAsia" w:ascii="仿宋_GB2312" w:hAnsi="宋体" w:eastAsia="仿宋_GB2312"/>
          <w:b/>
          <w:bCs/>
          <w:sz w:val="32"/>
          <w:szCs w:val="32"/>
        </w:rPr>
        <w:t>申请人依法</w:t>
      </w:r>
      <w:r>
        <w:rPr>
          <w:rFonts w:hint="eastAsia" w:ascii="仿宋_GB2312" w:hAnsi="宋体" w:eastAsia="仿宋_GB2312"/>
          <w:b/>
          <w:bCs/>
          <w:sz w:val="32"/>
          <w:szCs w:val="32"/>
          <w:lang w:eastAsia="zh-CN"/>
        </w:rPr>
        <w:t>享有</w:t>
      </w:r>
      <w:r>
        <w:rPr>
          <w:rFonts w:hint="eastAsia" w:ascii="仿宋_GB2312" w:hAnsi="宋体" w:eastAsia="仿宋_GB2312"/>
          <w:b/>
          <w:bCs/>
          <w:sz w:val="32"/>
          <w:szCs w:val="32"/>
        </w:rPr>
        <w:t>以下权利</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符合法定条件的，申请人有权取得本行政批准；申请人享有知情权，实施机关应当将本行政许可事项的办理依据、条件、时限、流程以及需要提交的申请材料公布；申请人有权要求实施机关对公开内容予以说明、解释；申请人在办理本行政许可事项过程中，享有咨询、办理进程查询、投诉的权利；申请人对本行政许可事项的办理结果有异议的，有权依法申请行政复议或提起行政诉讼。</w:t>
      </w:r>
    </w:p>
    <w:p>
      <w:pPr>
        <w:spacing w:line="560" w:lineRule="exact"/>
        <w:ind w:firstLine="643" w:firstLineChars="200"/>
        <w:rPr>
          <w:rFonts w:hint="eastAsia" w:ascii="仿宋_GB2312" w:hAnsi="宋体" w:eastAsia="仿宋_GB2312"/>
          <w:b/>
          <w:bCs/>
          <w:sz w:val="32"/>
          <w:szCs w:val="32"/>
        </w:rPr>
      </w:pPr>
      <w:r>
        <w:rPr>
          <w:rFonts w:hint="eastAsia" w:ascii="仿宋_GB2312" w:hAnsi="宋体" w:eastAsia="仿宋_GB2312"/>
          <w:b/>
          <w:bCs/>
          <w:sz w:val="32"/>
          <w:szCs w:val="32"/>
          <w:lang w:eastAsia="zh-CN"/>
        </w:rPr>
        <w:t>（二）</w:t>
      </w:r>
      <w:r>
        <w:rPr>
          <w:rFonts w:hint="eastAsia" w:ascii="仿宋_GB2312" w:hAnsi="宋体" w:eastAsia="仿宋_GB2312"/>
          <w:b/>
          <w:bCs/>
          <w:sz w:val="32"/>
          <w:szCs w:val="32"/>
        </w:rPr>
        <w:t>申请人依法履行以下义务</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申请人应按照要求提交申请材料；申请人应对其申请材料实质内容的真实性负责；申请人应积极配合实施机关办理本行政许可事项审查的相关工作，包括按要求补齐补正材料；申请人应依规定到指定银行增存120万质量保证金。</w:t>
      </w:r>
    </w:p>
    <w:p>
      <w:pPr>
        <w:spacing w:line="560" w:lineRule="exact"/>
        <w:ind w:firstLine="640" w:firstLineChars="200"/>
        <w:rPr>
          <w:rFonts w:hint="eastAsia" w:ascii="黑体" w:hAnsi="宋体" w:eastAsia="黑体"/>
          <w:sz w:val="32"/>
          <w:szCs w:val="32"/>
        </w:rPr>
      </w:pPr>
      <w:r>
        <w:rPr>
          <w:rFonts w:hint="eastAsia" w:ascii="黑体" w:eastAsia="黑体"/>
          <w:sz w:val="32"/>
          <w:szCs w:val="32"/>
        </w:rPr>
        <w:t>十</w:t>
      </w:r>
      <w:r>
        <w:rPr>
          <w:rFonts w:hint="eastAsia" w:ascii="黑体" w:eastAsia="黑体"/>
          <w:sz w:val="32"/>
          <w:szCs w:val="32"/>
          <w:lang w:eastAsia="zh-CN"/>
        </w:rPr>
        <w:t>四</w:t>
      </w:r>
      <w:r>
        <w:rPr>
          <w:rFonts w:hint="eastAsia" w:ascii="黑体" w:eastAsia="黑体"/>
          <w:sz w:val="32"/>
          <w:szCs w:val="32"/>
        </w:rPr>
        <w:t>、联系方式</w:t>
      </w:r>
    </w:p>
    <w:p>
      <w:pPr>
        <w:pStyle w:val="7"/>
        <w:snapToGrid w:val="0"/>
        <w:spacing w:line="560" w:lineRule="exact"/>
        <w:ind w:firstLine="643"/>
        <w:rPr>
          <w:rFonts w:hint="eastAsia" w:ascii="仿宋_GB2312" w:eastAsia="仿宋_GB2312"/>
          <w:b/>
          <w:sz w:val="32"/>
          <w:szCs w:val="32"/>
        </w:rPr>
      </w:pPr>
      <w:r>
        <w:rPr>
          <w:rFonts w:hint="eastAsia" w:ascii="仿宋_GB2312" w:eastAsia="仿宋_GB2312"/>
          <w:b/>
          <w:sz w:val="32"/>
          <w:szCs w:val="32"/>
        </w:rPr>
        <w:t>（一）办理地点</w:t>
      </w:r>
    </w:p>
    <w:p>
      <w:pPr>
        <w:pStyle w:val="8"/>
        <w:spacing w:line="560" w:lineRule="exact"/>
        <w:ind w:left="0" w:leftChars="0" w:firstLine="640"/>
        <w:jc w:val="left"/>
        <w:rPr>
          <w:rFonts w:hint="eastAsia" w:ascii="仿宋_GB2312" w:hAnsi="宋体" w:eastAsia="仿宋_GB2312"/>
          <w:sz w:val="32"/>
          <w:szCs w:val="32"/>
          <w:lang w:eastAsia="zh-CN"/>
        </w:rPr>
      </w:pPr>
      <w:r>
        <w:rPr>
          <w:rFonts w:hint="eastAsia" w:ascii="仿宋_GB2312" w:hAnsi="宋体" w:eastAsia="仿宋_GB2312"/>
          <w:sz w:val="32"/>
          <w:szCs w:val="32"/>
          <w:lang w:eastAsia="zh-CN"/>
        </w:rPr>
        <w:t>1.</w:t>
      </w:r>
      <w:r>
        <w:rPr>
          <w:rFonts w:hint="eastAsia" w:ascii="仿宋_GB2312" w:hAnsi="宋体" w:eastAsia="仿宋_GB2312"/>
          <w:sz w:val="32"/>
          <w:szCs w:val="32"/>
        </w:rPr>
        <w:t>部门名称：</w:t>
      </w:r>
    </w:p>
    <w:p>
      <w:pPr>
        <w:pStyle w:val="8"/>
        <w:spacing w:line="560" w:lineRule="exact"/>
        <w:ind w:left="0" w:leftChars="0" w:firstLine="640"/>
        <w:jc w:val="left"/>
        <w:rPr>
          <w:rFonts w:hint="default" w:ascii="仿宋_GB2312" w:hAnsi="宋体" w:eastAsia="仿宋_GB2312"/>
          <w:sz w:val="32"/>
          <w:szCs w:val="32"/>
          <w:lang w:val="en-US" w:eastAsia="zh-CN"/>
        </w:rPr>
      </w:pPr>
      <w:r>
        <w:rPr>
          <w:rFonts w:hint="eastAsia" w:ascii="仿宋_GB2312" w:hAnsi="宋体" w:eastAsia="仿宋_GB2312"/>
          <w:sz w:val="32"/>
          <w:szCs w:val="32"/>
          <w:lang w:eastAsia="zh-CN"/>
        </w:rPr>
        <w:t>2.部门</w:t>
      </w:r>
      <w:r>
        <w:rPr>
          <w:rFonts w:hint="eastAsia" w:ascii="仿宋_GB2312" w:hAnsi="宋体" w:eastAsia="仿宋_GB2312"/>
          <w:sz w:val="32"/>
          <w:szCs w:val="32"/>
        </w:rPr>
        <w:t>地址：</w:t>
      </w:r>
    </w:p>
    <w:p>
      <w:pPr>
        <w:pStyle w:val="8"/>
        <w:spacing w:line="560" w:lineRule="exact"/>
        <w:ind w:left="0" w:leftChars="0" w:firstLine="643"/>
        <w:jc w:val="left"/>
        <w:rPr>
          <w:rFonts w:hint="eastAsia" w:ascii="仿宋_GB2312" w:hAnsi="宋体" w:eastAsia="仿宋_GB2312"/>
          <w:b/>
          <w:sz w:val="32"/>
          <w:szCs w:val="32"/>
        </w:rPr>
      </w:pPr>
      <w:r>
        <w:rPr>
          <w:rFonts w:hint="eastAsia" w:ascii="仿宋_GB2312" w:hAnsi="宋体" w:eastAsia="仿宋_GB2312"/>
          <w:b/>
          <w:sz w:val="32"/>
          <w:szCs w:val="32"/>
        </w:rPr>
        <w:t>（二）</w:t>
      </w:r>
      <w:r>
        <w:rPr>
          <w:rFonts w:hint="eastAsia" w:ascii="仿宋_GB2312" w:hAnsi="宋体" w:eastAsia="仿宋_GB2312"/>
          <w:b/>
          <w:sz w:val="32"/>
          <w:szCs w:val="32"/>
          <w:lang w:eastAsia="zh-CN"/>
        </w:rPr>
        <w:t>办理</w:t>
      </w:r>
      <w:r>
        <w:rPr>
          <w:rFonts w:hint="eastAsia" w:ascii="仿宋_GB2312" w:hAnsi="宋体" w:eastAsia="仿宋_GB2312"/>
          <w:b/>
          <w:sz w:val="32"/>
          <w:szCs w:val="32"/>
        </w:rPr>
        <w:t>时间</w:t>
      </w:r>
    </w:p>
    <w:p>
      <w:pPr>
        <w:pStyle w:val="7"/>
        <w:snapToGrid w:val="0"/>
        <w:spacing w:line="560" w:lineRule="exact"/>
        <w:ind w:firstLine="640"/>
        <w:rPr>
          <w:rFonts w:hint="eastAsia" w:ascii="仿宋_GB2312" w:eastAsia="仿宋_GB2312"/>
          <w:sz w:val="32"/>
          <w:szCs w:val="32"/>
        </w:rPr>
      </w:pPr>
    </w:p>
    <w:p>
      <w:pPr>
        <w:pStyle w:val="7"/>
        <w:snapToGrid w:val="0"/>
        <w:spacing w:line="560" w:lineRule="exact"/>
        <w:ind w:firstLine="643"/>
        <w:rPr>
          <w:rFonts w:hint="eastAsia" w:ascii="仿宋_GB2312" w:eastAsia="仿宋_GB2312"/>
          <w:b/>
          <w:sz w:val="32"/>
          <w:szCs w:val="32"/>
        </w:rPr>
      </w:pPr>
      <w:r>
        <w:rPr>
          <w:rFonts w:hint="eastAsia" w:ascii="仿宋_GB2312" w:eastAsia="仿宋_GB2312"/>
          <w:b/>
          <w:sz w:val="32"/>
          <w:szCs w:val="32"/>
        </w:rPr>
        <w:t>1.咨询途径</w:t>
      </w:r>
    </w:p>
    <w:p>
      <w:pPr>
        <w:pStyle w:val="7"/>
        <w:snapToGrid w:val="0"/>
        <w:spacing w:line="560" w:lineRule="exact"/>
        <w:ind w:firstLine="640"/>
        <w:rPr>
          <w:rFonts w:hint="eastAsia" w:ascii="仿宋_GB2312" w:eastAsia="仿宋_GB2312"/>
          <w:sz w:val="32"/>
          <w:szCs w:val="32"/>
        </w:rPr>
      </w:pPr>
      <w:r>
        <w:rPr>
          <w:rFonts w:hint="eastAsia" w:ascii="仿宋_GB2312" w:eastAsia="仿宋_GB2312"/>
          <w:sz w:val="32"/>
          <w:szCs w:val="32"/>
        </w:rPr>
        <w:t>（1）窗口咨询：</w:t>
      </w:r>
    </w:p>
    <w:p>
      <w:pPr>
        <w:pStyle w:val="7"/>
        <w:snapToGrid w:val="0"/>
        <w:ind w:firstLine="640"/>
        <w:rPr>
          <w:rFonts w:hint="eastAsia" w:ascii="仿宋_GB2312" w:hAnsi="宋体" w:eastAsia="仿宋_GB2312"/>
          <w:sz w:val="32"/>
          <w:szCs w:val="32"/>
        </w:rPr>
      </w:pPr>
      <w:r>
        <w:rPr>
          <w:rFonts w:hint="eastAsia" w:ascii="仿宋_GB2312" w:eastAsia="仿宋_GB2312"/>
          <w:sz w:val="32"/>
          <w:szCs w:val="32"/>
        </w:rPr>
        <w:t>（2）电话咨询：</w:t>
      </w:r>
    </w:p>
    <w:p>
      <w:pPr>
        <w:pStyle w:val="7"/>
        <w:snapToGrid w:val="0"/>
        <w:spacing w:line="560" w:lineRule="exact"/>
        <w:ind w:firstLine="643"/>
        <w:rPr>
          <w:rFonts w:hint="eastAsia" w:ascii="仿宋_GB2312" w:eastAsia="仿宋_GB2312"/>
          <w:b/>
          <w:sz w:val="32"/>
          <w:szCs w:val="32"/>
        </w:rPr>
      </w:pPr>
      <w:r>
        <w:rPr>
          <w:rFonts w:hint="eastAsia" w:ascii="仿宋_GB2312" w:eastAsia="仿宋_GB2312"/>
          <w:b/>
          <w:sz w:val="32"/>
          <w:szCs w:val="32"/>
        </w:rPr>
        <w:t>2.投诉监督</w:t>
      </w:r>
    </w:p>
    <w:p>
      <w:pPr>
        <w:spacing w:line="560" w:lineRule="exact"/>
        <w:ind w:firstLine="0" w:firstLineChars="0"/>
        <w:rPr>
          <w:rFonts w:hint="eastAsia" w:ascii="仿宋_GB2312" w:hAnsi="黑体" w:eastAsia="仿宋_GB2312"/>
          <w:sz w:val="30"/>
          <w:szCs w:val="30"/>
        </w:rPr>
      </w:pPr>
    </w:p>
    <w:p>
      <w:pPr>
        <w:spacing w:line="560" w:lineRule="exact"/>
        <w:ind w:firstLine="600" w:firstLineChars="200"/>
        <w:rPr>
          <w:rFonts w:hint="eastAsia" w:ascii="仿宋_GB2312" w:hAnsi="黑体" w:eastAsia="仿宋_GB2312"/>
          <w:sz w:val="30"/>
          <w:szCs w:val="30"/>
        </w:rPr>
      </w:pPr>
    </w:p>
    <w:p>
      <w:pPr>
        <w:spacing w:line="560" w:lineRule="exact"/>
        <w:ind w:firstLine="600" w:firstLineChars="200"/>
        <w:rPr>
          <w:rFonts w:hint="eastAsia" w:ascii="仿宋_GB2312" w:hAnsi="黑体" w:eastAsia="仿宋_GB2312"/>
          <w:sz w:val="30"/>
          <w:szCs w:val="30"/>
        </w:rPr>
      </w:pPr>
    </w:p>
    <w:p>
      <w:pPr>
        <w:spacing w:line="560" w:lineRule="exact"/>
        <w:ind w:firstLine="600" w:firstLineChars="200"/>
        <w:rPr>
          <w:rFonts w:hint="eastAsia" w:ascii="仿宋_GB2312" w:hAnsi="黑体" w:eastAsia="仿宋_GB2312"/>
          <w:sz w:val="30"/>
          <w:szCs w:val="30"/>
        </w:rPr>
        <w:sectPr>
          <w:headerReference r:id="rId3" w:type="default"/>
          <w:footerReference r:id="rId4" w:type="default"/>
          <w:footerReference r:id="rId5" w:type="even"/>
          <w:pgSz w:w="11906" w:h="16838"/>
          <w:pgMar w:top="1440" w:right="1797" w:bottom="1440" w:left="1797" w:header="851" w:footer="992" w:gutter="0"/>
          <w:cols w:space="720" w:num="1"/>
          <w:docGrid w:type="lines" w:linePitch="325" w:charSpace="0"/>
        </w:sectPr>
      </w:pPr>
    </w:p>
    <w:p>
      <w:pPr>
        <w:pStyle w:val="7"/>
        <w:spacing w:line="560" w:lineRule="exact"/>
        <w:ind w:firstLine="640"/>
        <w:rPr>
          <w:rFonts w:hint="eastAsia" w:ascii="黑体" w:eastAsia="黑体"/>
          <w:sz w:val="32"/>
          <w:szCs w:val="32"/>
        </w:rPr>
      </w:pPr>
      <w:r>
        <w:rPr>
          <w:rFonts w:hint="eastAsia" w:ascii="黑体" w:eastAsia="黑体"/>
          <w:sz w:val="32"/>
          <w:szCs w:val="32"/>
        </w:rPr>
        <w:t>附录1</w:t>
      </w:r>
    </w:p>
    <w:p>
      <w:pPr>
        <w:adjustRightInd w:val="0"/>
        <w:snapToGrid w:val="0"/>
        <w:spacing w:line="560" w:lineRule="exact"/>
        <w:jc w:val="center"/>
        <w:rPr>
          <w:rFonts w:hint="eastAsia" w:ascii="黑体" w:eastAsia="黑体"/>
          <w:sz w:val="36"/>
          <w:szCs w:val="36"/>
        </w:rPr>
      </w:pPr>
      <w:r>
        <w:rPr>
          <w:rFonts w:hint="eastAsia" w:ascii="黑体" w:eastAsia="黑体"/>
          <w:sz w:val="36"/>
          <w:szCs w:val="36"/>
        </w:rPr>
        <w:t>办事流</w:t>
      </w:r>
      <w:bookmarkStart w:id="4" w:name="_Toc341098467"/>
      <w:r>
        <w:rPr>
          <w:rFonts w:hint="eastAsia" w:ascii="黑体" w:eastAsia="黑体"/>
          <w:sz w:val="36"/>
          <w:szCs w:val="36"/>
        </w:rPr>
        <w:t>程示意图</w:t>
      </w:r>
    </w:p>
    <w:p>
      <w:pPr>
        <w:adjustRightInd w:val="0"/>
        <w:snapToGrid w:val="0"/>
        <w:spacing w:line="560" w:lineRule="exact"/>
        <w:rPr>
          <w:rFonts w:hint="eastAsia" w:ascii="黑体" w:eastAsia="黑体"/>
          <w:sz w:val="30"/>
          <w:szCs w:val="30"/>
        </w:rPr>
      </w:pPr>
    </w:p>
    <w:p>
      <w:pPr>
        <w:adjustRightInd w:val="0"/>
        <w:snapToGrid w:val="0"/>
        <w:spacing w:line="560" w:lineRule="exact"/>
        <w:jc w:val="center"/>
        <w:rPr>
          <w:rFonts w:hint="eastAsia" w:ascii="黑体" w:eastAsia="黑体"/>
          <w:sz w:val="30"/>
          <w:szCs w:val="30"/>
        </w:rPr>
      </w:pPr>
    </w:p>
    <w:p>
      <w:pPr>
        <w:adjustRightInd w:val="0"/>
        <w:snapToGrid w:val="0"/>
        <w:spacing w:line="560" w:lineRule="exact"/>
        <w:jc w:val="center"/>
        <w:rPr>
          <w:rFonts w:hint="eastAsia" w:ascii="黑体" w:eastAsia="黑体"/>
          <w:sz w:val="30"/>
          <w:szCs w:val="30"/>
        </w:rPr>
      </w:pPr>
    </w:p>
    <w:p>
      <w:pPr>
        <w:spacing w:line="240" w:lineRule="auto"/>
      </w:pPr>
      <w:bookmarkStart w:id="5" w:name="_GoBack"/>
      <w:r>
        <w:rPr>
          <w:rFonts w:hint="eastAsia" w:ascii="仿宋_GB2312" w:eastAsia="仿宋_GB2312"/>
          <w:sz w:val="30"/>
          <w:szCs w:val="30"/>
          <w:lang w:eastAsia="zh-CN"/>
        </w:rPr>
        <w:drawing>
          <wp:inline distT="0" distB="0" distL="114300" distR="114300">
            <wp:extent cx="5037455" cy="7122160"/>
            <wp:effectExtent l="0" t="0" r="10795" b="2540"/>
            <wp:docPr id="1" name="图片 1" descr="e3b87b64-ea12-4118-bc46-3e2341c0f04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e3b87b64-ea12-4118-bc46-3e2341c0f04e"/>
                    <pic:cNvPicPr>
                      <a:picLocks noChangeAspect="1"/>
                    </pic:cNvPicPr>
                  </pic:nvPicPr>
                  <pic:blipFill>
                    <a:blip r:embed="rId7"/>
                    <a:stretch>
                      <a:fillRect/>
                    </a:stretch>
                  </pic:blipFill>
                  <pic:spPr>
                    <a:xfrm>
                      <a:off x="0" y="0"/>
                      <a:ext cx="5037455" cy="7122160"/>
                    </a:xfrm>
                    <a:prstGeom prst="rect">
                      <a:avLst/>
                    </a:prstGeom>
                    <a:noFill/>
                    <a:ln>
                      <a:noFill/>
                    </a:ln>
                  </pic:spPr>
                </pic:pic>
              </a:graphicData>
            </a:graphic>
          </wp:inline>
        </w:drawing>
      </w:r>
      <w:bookmarkEnd w:id="5"/>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fldChar w:fldCharType="begin"/>
    </w:r>
    <w:r>
      <w:instrText xml:space="preserve"> PAGE   \* MERGEFORMAT </w:instrText>
    </w:r>
    <w:r>
      <w:fldChar w:fldCharType="separate"/>
    </w:r>
    <w:r>
      <w:t>4</w:t>
    </w:r>
    <w: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6" w:space="23"/>
      </w:pBd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3B882D"/>
    <w:multiLevelType w:val="singleLevel"/>
    <w:tmpl w:val="5E3B882D"/>
    <w:lvl w:ilvl="0" w:tentative="0">
      <w:start w:val="9"/>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991158"/>
    <w:rsid w:val="559911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after="330" w:afterLines="0" w:line="578" w:lineRule="auto"/>
      <w:outlineLvl w:val="0"/>
    </w:pPr>
    <w:rPr>
      <w:rFonts w:eastAsia="宋体"/>
      <w:b/>
      <w:bCs/>
      <w:kern w:val="44"/>
      <w:sz w:val="44"/>
      <w:szCs w:val="44"/>
      <w:lang w:val="en-US" w:eastAsia="zh-CN" w:bidi="ar-SA"/>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customStyle="1" w:styleId="7">
    <w:name w:val="段"/>
    <w:qFormat/>
    <w:uiPriority w:val="0"/>
    <w:pPr>
      <w:tabs>
        <w:tab w:val="center" w:pos="4201"/>
        <w:tab w:val="right" w:leader="dot" w:pos="9298"/>
      </w:tabs>
      <w:autoSpaceDE w:val="0"/>
      <w:autoSpaceDN w:val="0"/>
      <w:ind w:firstLine="420" w:firstLineChars="200"/>
      <w:jc w:val="both"/>
    </w:pPr>
    <w:rPr>
      <w:rFonts w:ascii="宋体" w:hAnsi="Calibri" w:eastAsia="宋体" w:cs="Times New Roman"/>
      <w:kern w:val="2"/>
      <w:sz w:val="22"/>
      <w:szCs w:val="22"/>
      <w:lang w:val="en-US" w:eastAsia="zh-CN" w:bidi="ar-SA"/>
    </w:rPr>
  </w:style>
  <w:style w:type="paragraph" w:customStyle="1" w:styleId="8">
    <w:name w:val="要求"/>
    <w:basedOn w:val="1"/>
    <w:qFormat/>
    <w:uiPriority w:val="0"/>
    <w:pPr>
      <w:widowControl/>
      <w:tabs>
        <w:tab w:val="center" w:pos="4201"/>
        <w:tab w:val="right" w:leader="dot" w:pos="9298"/>
      </w:tabs>
      <w:autoSpaceDE w:val="0"/>
      <w:autoSpaceDN w:val="0"/>
      <w:adjustRightInd w:val="0"/>
      <w:snapToGrid w:val="0"/>
      <w:ind w:left="200" w:leftChars="200" w:firstLine="200" w:firstLineChars="200"/>
    </w:pPr>
    <w:rPr>
      <w:rFonts w:ascii="宋体"/>
      <w:kern w:val="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省文化厅</Company>
  <Pages>1</Pages>
  <Words>0</Words>
  <Characters>0</Characters>
  <Lines>0</Lines>
  <Paragraphs>0</Paragraphs>
  <TotalTime>0</TotalTime>
  <ScaleCrop>false</ScaleCrop>
  <LinksUpToDate>false</LinksUpToDate>
  <CharactersWithSpaces>0</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2020-02-14T02:32:00Z</dcterms:created>
  <dc:creator>cb</dc:creator>
  <cp:lastModifiedBy>cb</cp:lastModifiedBy>
  <dcterms:modified xsi:type="dcterms:W3CDTF">2020-02-14T02:33:03Z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